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763d1_6k.htm"/>
      <w:bookmarkStart w:id="1" w:name="kstm261476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 xml:space="preserve">(86) 21 6195-2011 </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(excluding the paragraph under the heading “Conference Call”) of this current report on Form 6-K (the “Report”) shall be incorporated by reference into the Company’s registration statements on Form F-3, which became effective on July 17, 2024 (Registration No. 333-280844), and shall be a part thereof from the date on which this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28" w:type="dxa"/>
          <w:right w:w="0" w:type="dxa"/>
        </w:tblCellMar>
      </w:tblPr>
      <w:tblGrid>
        <w:gridCol w:w="1055"/>
        <w:gridCol w:w="60"/>
        <w:gridCol w:w="6725"/>
      </w:tblGrid>
      <w:tr>
        <w:trPr/>
        <w:tc>
          <w:tcPr>
            <w:tcW w:w="1055" w:type="dxa"/>
            <w:tcBorders>
              <w:bottom w:val="single" w:sz="8" w:space="0" w:color="000000"/>
            </w:tcBorders>
            <w:vAlign w:val="center"/>
          </w:tcPr>
          <w:p>
            <w:pPr>
              <w:pStyle w:val="TableContents"/>
              <w:bidi w:val="0"/>
              <w:spacing w:before="0" w:after="283"/>
              <w:jc w:val="left"/>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6725" w:type="dxa"/>
            <w:tcBorders>
              <w:bottom w:val="single" w:sz="8" w:space="0" w:color="000000"/>
            </w:tcBorders>
            <w:vAlign w:val="center"/>
          </w:tcPr>
          <w:p>
            <w:pPr>
              <w:pStyle w:val="TableContents"/>
              <w:bidi w:val="0"/>
              <w:spacing w:before="0" w:after="283"/>
              <w:jc w:val="left"/>
              <w:rPr>
                <w:b/>
              </w:rPr>
            </w:pPr>
            <w:r>
              <w:rPr>
                <w:b/>
              </w:rPr>
              <w:t>Description of Document</w:t>
            </w:r>
          </w:p>
        </w:tc>
      </w:tr>
      <w:tr>
        <w:trPr/>
        <w:tc>
          <w:tcPr>
            <w:tcW w:w="1055" w:type="dxa"/>
            <w:tcBorders/>
            <w:tcMar>
              <w:bottom w:w="0" w:type="dxa"/>
            </w:tcMar>
            <w:vAlign w:val="center"/>
          </w:tcPr>
          <w:p>
            <w:pPr>
              <w:pStyle w:val="TableContents"/>
              <w:bidi w:val="0"/>
              <w:spacing w:before="0" w:after="283"/>
              <w:jc w:val="left"/>
              <w:rPr/>
            </w:pPr>
            <w:hyperlink w:anchor="tm2614763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6725" w:type="dxa"/>
            <w:tcBorders/>
            <w:tcMar>
              <w:bottom w:w="0" w:type="dxa"/>
            </w:tcMar>
            <w:vAlign w:val="center"/>
          </w:tcPr>
          <w:p>
            <w:pPr>
              <w:pStyle w:val="TableContents"/>
              <w:bidi w:val="0"/>
              <w:spacing w:before="0" w:after="283"/>
              <w:jc w:val="left"/>
              <w:rPr/>
            </w:pPr>
            <w:hyperlink w:anchor="tm2614763d1_ex99-1.htm">
              <w:r>
                <w:rPr>
                  <w:rStyle w:val="InternetLink"/>
                  <w:rFonts w:ascii="Times New Roman;Times;Serif" w:hAnsi="Times New Roman;Times;Serif"/>
                  <w:sz w:val="20"/>
                </w:rPr>
                <w:t>H World Group Limited Reports First Quarter of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655"/>
        <w:gridCol w:w="545"/>
        <w:gridCol w:w="374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Qi Ji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Qi Ji</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614763d1_ex99-1.htm"/>
      <w:bookmarkStart w:id="3" w:name="kstm2614763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World Group</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Limited Reports First Quarter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1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 total of 13,215 hotels or 1,303,563 hotel rooms in operation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Hotel turnover</w:t>
            </w:r>
            <w:r>
              <w:rPr>
                <w:rFonts w:ascii="Times New Roman;Times;Serif" w:hAnsi="Times New Roman;Times;Serif"/>
                <w:b/>
                <w:i/>
                <w:position w:val="8"/>
                <w:sz w:val="19"/>
              </w:rPr>
              <w:t>1</w:t>
            </w:r>
            <w:r>
              <w:rPr>
                <w:rFonts w:ascii="Times New Roman;Times;Serif" w:hAnsi="Times New Roman;Times;Serif"/>
                <w:i/>
              </w:rPr>
              <w:t xml:space="preserve"> increased 17.4% year-over-year to RMB26.4 billion in the first quarter of 2026. Excluding H World International (“</w:t>
            </w:r>
            <w:r>
              <w:rPr>
                <w:rFonts w:ascii="Times New Roman;Times;Serif" w:hAnsi="Times New Roman;Times;Serif"/>
                <w:b/>
                <w:i/>
              </w:rPr>
              <w:t>HWI</w:t>
            </w:r>
            <w:r>
              <w:rPr>
                <w:rFonts w:ascii="Times New Roman;Times;Serif" w:hAnsi="Times New Roman;Times;Serif"/>
                <w:i/>
              </w:rPr>
              <w:t>”)</w:t>
            </w:r>
            <w:r>
              <w:rPr>
                <w:rFonts w:ascii="Times New Roman;Times;Serif" w:hAnsi="Times New Roman;Times;Serif"/>
                <w:b/>
                <w:i/>
                <w:position w:val="8"/>
                <w:sz w:val="19"/>
              </w:rPr>
              <w:t>2</w:t>
            </w:r>
            <w:r>
              <w:rPr>
                <w:rFonts w:ascii="Times New Roman;Times;Serif" w:hAnsi="Times New Roman;Times;Serif"/>
                <w:i/>
              </w:rPr>
              <w:t xml:space="preserve"> , hotel turnover from the H World China (“</w:t>
            </w:r>
            <w:r>
              <w:rPr>
                <w:rFonts w:ascii="Times New Roman;Times;Serif" w:hAnsi="Times New Roman;Times;Serif"/>
                <w:b/>
                <w:i/>
              </w:rPr>
              <w:t>HWC</w:t>
            </w:r>
            <w:r>
              <w:rPr>
                <w:rFonts w:ascii="Times New Roman;Times;Serif" w:hAnsi="Times New Roman;Times;Serif"/>
                <w:i/>
              </w:rPr>
              <w:t>”)</w:t>
            </w:r>
            <w:r>
              <w:rPr>
                <w:rFonts w:ascii="Times New Roman;Times;Serif" w:hAnsi="Times New Roman;Times;Serif"/>
                <w:b/>
                <w:i/>
                <w:position w:val="8"/>
                <w:sz w:val="19"/>
              </w:rPr>
              <w:t>3</w:t>
            </w:r>
            <w:r>
              <w:rPr>
                <w:rFonts w:ascii="Times New Roman;Times;Serif" w:hAnsi="Times New Roman;Times;Serif"/>
                <w:i/>
              </w:rPr>
              <w:t xml:space="preserve"> segment increased 18.0% year-over-year in the first quarter of 2026. Hotel turnover from the HWI segment increased 9.6% year-over-year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Revenue in the first quarter of 2026 increased 11.1% year-over-year to RMB6.0 billion (US$870 million)</w:t>
            </w:r>
            <w:r>
              <w:rPr>
                <w:rFonts w:ascii="Times New Roman;Times;Serif" w:hAnsi="Times New Roman;Times;Serif"/>
                <w:position w:val="8"/>
                <w:sz w:val="19"/>
              </w:rPr>
              <w:t>4</w:t>
            </w:r>
            <w:r>
              <w:rPr>
                <w:rFonts w:ascii="Times New Roman;Times;Serif" w:hAnsi="Times New Roman;Times;Serif"/>
                <w:i/>
              </w:rPr>
              <w:t>. Manachised and franchised (“</w:t>
            </w:r>
            <w:r>
              <w:rPr>
                <w:rFonts w:ascii="Times New Roman;Times;Serif" w:hAnsi="Times New Roman;Times;Serif"/>
                <w:b/>
                <w:i/>
              </w:rPr>
              <w:t>M&amp;F</w:t>
            </w:r>
            <w:r>
              <w:rPr>
                <w:rFonts w:ascii="Times New Roman;Times;Serif" w:hAnsi="Times New Roman;Times;Serif"/>
                <w:i/>
              </w:rPr>
              <w:t>”) revenue increased 20.3% year-over-year to RMB3.0 billion (US$436 million) over the same period. Revenue from the HWC segment in the first quarter of 2026 was RMB5.0 billion, which increased 12.4% year-over-year; and HWI segment revenue in the first quarter of 2026 was RMB972 million, which increased 5.1% year-over-year.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income attributable to H World Group Limited was RMB817 million (US$118 million) in the first quarter of 2026, compared with RMB894 million in the first quarter of 2025 and RMB1.2 billion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EBITDA (non-GAAP) in the first quarter of 2026 was RMB1.6 billion (US$232 million), compared with RMB1.6 billion in the first quarter of 2025 and RMB2.1 billion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(non-GAAP), which excluded share-based compensation expenses, gain (loss) from fair value changes of equity securities, foreign exchange gain (loss), net, and gain (loss) on disposal of investments from EBITDA (non-GAAP), was RMB1.9 billion (US$269 million) in the first quarter of 2026, compared with RMB1.5 billion in the first quarter of 2025 and RMB2.2 billion in the previous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is our segment measure. Adjusted EBITDA from the HWC segment was RMB1.9 billion in the first quarter of 2026, compared with RMB1.6 billion in the first quarter of 2025 and RMB1.9 billion in the previous quarter. Adjusted EBITDA from the HWI segment was a loss of RMB56 million in the first quarter of 2026, compared with a loss of RMB78 million in the first quarter of 2025 and a gain of RMB327 million in the previous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1</w:t>
            </w:r>
          </w:p>
        </w:tc>
        <w:tc>
          <w:tcPr>
            <w:tcW w:w="10057" w:type="dxa"/>
            <w:tcBorders/>
            <w:vAlign w:val="center"/>
          </w:tcPr>
          <w:p>
            <w:pPr>
              <w:pStyle w:val="TableContents"/>
              <w:bidi w:val="0"/>
              <w:spacing w:before="0" w:after="283"/>
              <w:jc w:val="both"/>
              <w:rPr/>
            </w:pPr>
            <w:r>
              <w:rPr/>
              <w:t>Hotel turnover refers to total transaction value of room and non-room revenue from H World hotels (i.e., leased and owned, manachised and franchised hotels).</w:t>
            </w:r>
          </w:p>
        </w:tc>
      </w:tr>
    </w:tbl>
    <w:tbl>
      <w:tblPr>
        <w:tblW w:w="8448" w:type="dxa"/>
        <w:jc w:val="left"/>
        <w:tblInd w:w="0" w:type="dxa"/>
        <w:tblLayout w:type="fixed"/>
        <w:tblCellMar>
          <w:top w:w="0" w:type="dxa"/>
          <w:left w:w="0" w:type="dxa"/>
          <w:bottom w:w="0" w:type="dxa"/>
          <w:right w:w="0" w:type="dxa"/>
        </w:tblCellMar>
      </w:tblPr>
      <w:tblGrid>
        <w:gridCol w:w="38"/>
        <w:gridCol w:w="11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2</w:t>
            </w:r>
          </w:p>
        </w:tc>
        <w:tc>
          <w:tcPr>
            <w:tcW w:w="8300" w:type="dxa"/>
            <w:tcBorders/>
            <w:vAlign w:val="center"/>
          </w:tcPr>
          <w:p>
            <w:pPr>
              <w:pStyle w:val="TableContents"/>
              <w:bidi w:val="0"/>
              <w:spacing w:before="0" w:after="283"/>
              <w:jc w:val="both"/>
              <w:rPr/>
            </w:pPr>
            <w:r>
              <w:rPr/>
              <w:t>HWI refers to H World International, which includes all hotels operating outside China.</w:t>
            </w:r>
          </w:p>
        </w:tc>
      </w:tr>
    </w:tbl>
    <w:tbl>
      <w:tblPr>
        <w:tblW w:w="7803" w:type="dxa"/>
        <w:jc w:val="left"/>
        <w:tblInd w:w="0" w:type="dxa"/>
        <w:tblLayout w:type="fixed"/>
        <w:tblCellMar>
          <w:top w:w="0" w:type="dxa"/>
          <w:left w:w="0" w:type="dxa"/>
          <w:bottom w:w="0" w:type="dxa"/>
          <w:right w:w="0" w:type="dxa"/>
        </w:tblCellMar>
      </w:tblPr>
      <w:tblGrid>
        <w:gridCol w:w="38"/>
        <w:gridCol w:w="11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3</w:t>
            </w:r>
          </w:p>
        </w:tc>
        <w:tc>
          <w:tcPr>
            <w:tcW w:w="7655" w:type="dxa"/>
            <w:tcBorders/>
            <w:vAlign w:val="center"/>
          </w:tcPr>
          <w:p>
            <w:pPr>
              <w:pStyle w:val="TableContents"/>
              <w:bidi w:val="0"/>
              <w:spacing w:before="0" w:after="283"/>
              <w:jc w:val="both"/>
              <w:rPr/>
            </w:pPr>
            <w:r>
              <w:rPr/>
              <w:t>HWC refers to H World China, which includes all hotels operating inside China.</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4</w:t>
            </w:r>
          </w:p>
        </w:tc>
        <w:tc>
          <w:tcPr>
            <w:tcW w:w="10057" w:type="dxa"/>
            <w:tcBorders/>
            <w:vAlign w:val="center"/>
          </w:tcPr>
          <w:p>
            <w:pPr>
              <w:pStyle w:val="TableContents"/>
              <w:bidi w:val="0"/>
              <w:spacing w:before="0" w:after="283"/>
              <w:jc w:val="both"/>
              <w:rPr/>
            </w:pPr>
            <w:r>
              <w:rPr/>
              <w:t>The conversion of Renminbi (“</w:t>
            </w:r>
            <w:r>
              <w:rPr>
                <w:b/>
              </w:rPr>
              <w:t>RMB</w:t>
            </w:r>
            <w:r>
              <w:rPr/>
              <w:t>”) into U.S. dollars (“</w:t>
            </w:r>
            <w:r>
              <w:rPr>
                <w:b/>
              </w:rPr>
              <w:t>US$</w:t>
            </w:r>
            <w:r>
              <w:rPr/>
              <w:t>”) is based on the exchange rate of US$1.00=RMB6.8980 on March 31, 2026, as set forth in H.10 statistical release of the U.S. Federal Reserve Board and available at http://www.federalreserve.gov/releases/h10/hist/dat00_ch.htm.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Singapore/Shanghai, China, May 15, 2026 – H World Group Limited (NASDAQ: HTHT and HKEX: 1179) (“</w:t>
      </w:r>
      <w:r>
        <w:rPr>
          <w:rFonts w:ascii="Times New Roman;Times;Serif" w:hAnsi="Times New Roman;Times;Serif"/>
          <w:b/>
          <w:i w:val="false"/>
          <w:caps w:val="false"/>
          <w:smallCaps w:val="false"/>
          <w:sz w:val="20"/>
        </w:rPr>
        <w:t>H World</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a key player in the global hotel industry, today announced its unaudited financial results for the 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H World’s worldwide hotel network in operation totaled 13,215 hotels and 1,303,563 rooms, including 13,095 hotels from HWC and 120 hotels from HWI. During the first quarter of 2026, our HWC business opened 537 hotels, including 4 leased and owned (“</w:t>
      </w:r>
      <w:r>
        <w:rPr>
          <w:rFonts w:ascii="Times New Roman;Times;Serif" w:hAnsi="Times New Roman;Times;Serif"/>
          <w:b/>
          <w:i w:val="false"/>
          <w:caps w:val="false"/>
          <w:smallCaps w:val="false"/>
          <w:sz w:val="20"/>
        </w:rPr>
        <w:t>L&amp;O</w:t>
      </w:r>
      <w:r>
        <w:rPr>
          <w:rFonts w:ascii="Times New Roman;Times;Serif" w:hAnsi="Times New Roman;Times;Serif"/>
          <w:b w:val="false"/>
          <w:i w:val="false"/>
          <w:caps w:val="false"/>
          <w:smallCaps w:val="false"/>
          <w:sz w:val="20"/>
        </w:rPr>
        <w:t>”) hotels, and 533 M&amp;F hotels, and closed a total of 177 hotels, including 12 L&amp;O hotels, and 165 M&amp;F hotels. As of March 31, 2026, H World had a total of 2,894 unopened hotels in our pipeline, including 2,865 hotels from the HWC business and 29 hotels from the HWI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HWC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First Quarter of 2026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HWC had 13,095 hotels in operation, including 502 L&amp;O hotels, and 12,593 M&amp;F hotels. In addition, as of the same date, HWC had 1,278,531 hotel rooms in operation, including 75,839 rooms under the L&amp;O model, and 1,202,692 rooms under the M&amp;F models. HWC also had 2,865 unopened hotels in its pipeline, including 11 L&amp;O hotels, and 2,854 M&amp;F hotels. The following discusses HWC’s average daily room rate (“</w:t>
      </w:r>
      <w:r>
        <w:rPr>
          <w:rFonts w:ascii="Times New Roman;Times;Serif" w:hAnsi="Times New Roman;Times;Serif"/>
          <w:b/>
          <w:i w:val="false"/>
          <w:caps w:val="false"/>
          <w:smallCaps w:val="false"/>
          <w:sz w:val="20"/>
        </w:rPr>
        <w:t>ADR</w:t>
      </w:r>
      <w:r>
        <w:rPr>
          <w:rFonts w:ascii="Times New Roman;Times;Serif" w:hAnsi="Times New Roman;Times;Serif"/>
          <w:b w:val="false"/>
          <w:i w:val="false"/>
          <w:caps w:val="false"/>
          <w:smallCaps w:val="false"/>
          <w:sz w:val="20"/>
        </w:rPr>
        <w:t>”), occupancy rate and revenue per available room (“</w:t>
      </w:r>
      <w:r>
        <w:rPr>
          <w:rFonts w:ascii="Times New Roman;Times;Serif" w:hAnsi="Times New Roman;Times;Serif"/>
          <w:b/>
          <w:i w:val="false"/>
          <w:caps w:val="false"/>
          <w:smallCaps w:val="false"/>
          <w:sz w:val="20"/>
        </w:rPr>
        <w:t>RevPAR</w:t>
      </w:r>
      <w:r>
        <w:rPr>
          <w:rFonts w:ascii="Times New Roman;Times;Serif" w:hAnsi="Times New Roman;Times;Serif"/>
          <w:b w:val="false"/>
          <w:i w:val="false"/>
          <w:caps w:val="false"/>
          <w:smallCaps w:val="false"/>
          <w:sz w:val="20"/>
        </w:rPr>
        <w:t>”) for L&amp;O HWC hotels, as well as for M&amp;F HWC hotels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HWC ADR was RMB285 in the first quarter of 2026, compared with RMB272 in the first quarter of 2025 and RMB288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occupancy rate for all of the HWC hotels in operation was 75.1% in the first quarter of 2026, compared with 76.2% in the first quarter of 2025 and 78.4%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Blended HWC RevPAR was RMB214 in the first quarter of 2026, compared with RMB208 in the first quarter of 2025 and RMB226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 all of the HWC hotels which had been in operation for at least 18 months, the same-hotel RevPAR was RMB208 in the first quarter of 2026, representing a 2.3% decrease from RMB213 in the first quarter of 2025, with a 1.4% increase in same-hotel ADR and a 2.8 percentage-point decrease in same-hotel occupancy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HWI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First Quarter of 2026 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HWI had 120 hotels in operation, including 63 leased hotels, and 57 M&amp;F hotels. In addition, as of the same date, HWI had 25,032 hotel rooms in operation, including 13,444 rooms under the lease model, and 11,588 rooms under the M&amp;F models. HWI also had 29 unopened hotels in the pipeline, including 8 leased hotels and 21 M&amp;F hotels. The following discusses HWI’s ADR, occupancy rate and RevPAR for leased as well as for M&amp;F HWI hotels (excluding hotels temporarily closed)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HWI ADR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USD127 in the first quarter of 2026, compared with USD125 in the first quarter of 2025 and USD140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occupancy rate for all HWI hotels in operation was 63.3% in the first quarter of 2026, compared with 61.2% in the first quarter of 2025 and 72.5%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Blended HWI RevPAR</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USD80 in the first quarter of 2026, compared with USD76 in the first quarter of 2025 and USD101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 Hui, CEO of H World commented: “In the first quarter of 2026, we maintained steady network expansion with 537 new hotel openings in China. We are well on track to meet our full-year gross opening target of approximately 2,200 to 2,300 hotels. Supported by continuous product upgrades and a series of revenue management optimization initiatives, our blended HWC ADR increased 4.5% year-over-year and drove a 3.0% year-over-year increase in blended RevPAR, representing a sequential quarter-over-quarter improvement. Looking ahead, we will continue to pursue high-quality hotel network expansion, strengthen our brand positioning, enhance member-centric sales capabilities underpinned by the H Rewards membership program, and further deepen our technology and AI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better and more accurately reflect our future development prospects, we have adopted the new HWC and HWI disclosure framework and terminology beginning this quarter, where the acronym ‘HWC’ refers to our operations inside China, and ‘HWI’ covers all of our hotel operations outside China. In the first quarter of 2026, our HWI segment recorded a 5.0% year-over-year blended RevPAR increase, with a 1.6% increase in ADR and a 2.1 percentage-point increase in occupancy rate.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5387" w:type="dxa"/>
        <w:jc w:val="left"/>
        <w:tblInd w:w="0" w:type="dxa"/>
        <w:tblLayout w:type="fixed"/>
        <w:tblCellMar>
          <w:top w:w="0" w:type="dxa"/>
          <w:left w:w="0" w:type="dxa"/>
          <w:bottom w:w="28" w:type="dxa"/>
          <w:right w:w="0" w:type="dxa"/>
        </w:tblCellMar>
      </w:tblPr>
      <w:tblGrid>
        <w:gridCol w:w="2795"/>
        <w:gridCol w:w="60"/>
        <w:gridCol w:w="81"/>
        <w:gridCol w:w="658"/>
        <w:gridCol w:w="60"/>
        <w:gridCol w:w="60"/>
        <w:gridCol w:w="81"/>
        <w:gridCol w:w="658"/>
        <w:gridCol w:w="60"/>
        <w:gridCol w:w="60"/>
        <w:gridCol w:w="81"/>
        <w:gridCol w:w="658"/>
        <w:gridCol w:w="75"/>
      </w:tblGrid>
      <w:tr>
        <w:trPr/>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millions)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65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xml:space="preserve"> in the first quarter of 2026 was RMB6.0 billion (US$870 million), representing an 11.1% year-over-year increase and an 8.1% quarter-over-quarter decline. Revenue from the HWC segment in the first quarter of 2026 was RMB5.0 billion, representing a 12.4% year-over-year increase and a 3.6% quarter-over-quarter decline. The 12.4% HWC year-over-year increase was mainly driven by continued hotel network expansion and improved RevPAR performance. Revenue from the HWI segment in the first quarter of 2026 was RMB972 million, representing a 5.1% year-over-year increase and a 26.1% quarter-over-quarter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5</w:t>
            </w:r>
          </w:p>
        </w:tc>
        <w:tc>
          <w:tcPr>
            <w:tcW w:w="10057" w:type="dxa"/>
            <w:tcBorders/>
            <w:vAlign w:val="center"/>
          </w:tcPr>
          <w:p>
            <w:pPr>
              <w:pStyle w:val="TableContents"/>
              <w:bidi w:val="0"/>
              <w:spacing w:before="0" w:after="283"/>
              <w:jc w:val="both"/>
              <w:rPr/>
            </w:pPr>
            <w:r>
              <w:rPr/>
              <w:t>Period comparisons of ADR and RevPAR are presented on a constant U.S. dollar basis, which is calculated by applying current-period quarterly average exchange rates to the prior comparable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3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from leased and owned (L&amp;O) hotels</w:t>
      </w:r>
      <w:r>
        <w:rPr>
          <w:rFonts w:ascii="Times New Roman;Times;Serif" w:hAnsi="Times New Roman;Times;Serif"/>
          <w:b w:val="false"/>
          <w:i w:val="false"/>
          <w:caps w:val="false"/>
          <w:smallCaps w:val="false"/>
          <w:sz w:val="20"/>
        </w:rPr>
        <w:t xml:space="preserve"> in the first quarter of 2026 was RMB2.8 billion (US$399 million), representing a 1.4% year-over-year decrease and a 15.8% quarter-over-quarter decline. Revenue from L&amp;O hotels from the HWC segment in the first quarter of 2026 was RMB1.8 billion, representing a 4.5% year-over-year decrease, as we continue exiting L&amp;O hotels. Revenue from L&amp;O hotels from the HWI segment in the first quarter of 2026 was RMB929 million, representing a 5.2% year-over-year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from manachised and franchised (M&amp;F) hotels</w:t>
      </w:r>
      <w:r>
        <w:rPr>
          <w:rFonts w:ascii="Times New Roman;Times;Serif" w:hAnsi="Times New Roman;Times;Serif"/>
          <w:b w:val="false"/>
          <w:i w:val="false"/>
          <w:caps w:val="false"/>
          <w:smallCaps w:val="false"/>
          <w:sz w:val="20"/>
        </w:rPr>
        <w:t xml:space="preserve"> in the first quarter of 2026 was RMB3.0 billion (US$436 million), representing a 20.3% year-over-year increase and remaining largely flat from quarter-over-quarter. HWC segment revenue from M&amp;F hotels in the first quarter of 2026 was RMB3.0 billion, representing a 20.6% year-over-year increase, driven by hotel network expansion. HWI segment revenue from M&amp;F hotels in the first quarter of 2026 was RMB31 million, representing flat year-over-year performance, partly attributable to the closure of 4 M&amp;F hotels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revenue</w:t>
      </w:r>
      <w:r>
        <w:rPr>
          <w:rFonts w:ascii="Times New Roman;Times;Serif" w:hAnsi="Times New Roman;Times;Serif"/>
          <w:b w:val="false"/>
          <w:i w:val="false"/>
          <w:caps w:val="false"/>
          <w:smallCaps w:val="false"/>
          <w:sz w:val="20"/>
        </w:rPr>
        <w:t xml:space="preserve"> represents revenue generated from businesses other than our hotel operations, which mainly includes revenue from the provision of technical services, procurement platform and Huazhu Mall™ and other revenue from the HWI segment, totaling RMB240 million (US$35 million) in the first quarter of 2026, compared to RMB107 million in the first quarter of 2025 and RMB236 million in the previous quarter.</w:t>
      </w:r>
    </w:p>
    <w:p>
      <w:pPr>
        <w:pStyle w:val="TextBody"/>
        <w:bidi w:val="0"/>
        <w:spacing w:before="0" w:after="0"/>
        <w:ind w:left="0" w:right="0" w:hanging="0"/>
        <w:jc w:val="left"/>
        <w:rPr>
          <w:caps w:val="false"/>
          <w:smallCaps w:val="false"/>
        </w:rPr>
      </w:pPr>
      <w:r>
        <w:rPr>
          <w:caps w:val="false"/>
          <w:smallCaps w:val="false"/>
        </w:rPr>
        <w:t> </w:t>
      </w:r>
    </w:p>
    <w:tbl>
      <w:tblPr>
        <w:tblW w:w="5657" w:type="dxa"/>
        <w:jc w:val="left"/>
        <w:tblInd w:w="0" w:type="dxa"/>
        <w:tblLayout w:type="fixed"/>
        <w:tblCellMar>
          <w:top w:w="0" w:type="dxa"/>
          <w:left w:w="0" w:type="dxa"/>
          <w:bottom w:w="28" w:type="dxa"/>
          <w:right w:w="0" w:type="dxa"/>
        </w:tblCellMar>
      </w:tblPr>
      <w:tblGrid>
        <w:gridCol w:w="3005"/>
        <w:gridCol w:w="60"/>
        <w:gridCol w:w="73"/>
        <w:gridCol w:w="666"/>
        <w:gridCol w:w="80"/>
        <w:gridCol w:w="60"/>
        <w:gridCol w:w="73"/>
        <w:gridCol w:w="666"/>
        <w:gridCol w:w="80"/>
        <w:gridCol w:w="60"/>
        <w:gridCol w:w="73"/>
        <w:gridCol w:w="666"/>
        <w:gridCol w:w="95"/>
      </w:tblGrid>
      <w:tr>
        <w:trPr/>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in millions)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66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 operating costs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in the first quarter of 2026 were RMB3.7 billion (US$529 million), </w:t>
      </w:r>
      <w:r>
        <w:rPr>
          <w:rFonts w:ascii="Times New Roman;Times;Serif" w:hAnsi="Times New Roman;Times;Serif"/>
          <w:b w:val="false"/>
          <w:i w:val="false"/>
          <w:caps w:val="false"/>
          <w:smallCaps w:val="false"/>
          <w:sz w:val="20"/>
        </w:rPr>
        <w:t>reflecting a 1.4% year-over-year increase</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The 1.4% year-over-year increase was mainly </w:t>
      </w:r>
      <w:r>
        <w:rPr>
          <w:rFonts w:ascii="Times New Roman;Times;Serif" w:hAnsi="Times New Roman;Times;Serif"/>
          <w:b w:val="false"/>
          <w:i w:val="false"/>
          <w:caps w:val="false"/>
          <w:smallCaps w:val="false"/>
          <w:sz w:val="20"/>
          <w:shd w:fill="FFFFFF" w:val="clear"/>
        </w:rPr>
        <w:t>due to a 1.9% year-over-year increase in HWC. A</w:t>
      </w:r>
      <w:r>
        <w:rPr>
          <w:rFonts w:ascii="Times New Roman;Times;Serif" w:hAnsi="Times New Roman;Times;Serif"/>
          <w:b w:val="false"/>
          <w:i w:val="false"/>
          <w:caps w:val="false"/>
          <w:smallCaps w:val="false"/>
          <w:sz w:val="20"/>
        </w:rPr>
        <w:t>s we continue to pursue an asset-light strategy, our hotel operating costs as a per</w:t>
      </w:r>
      <w:r>
        <w:rPr>
          <w:rFonts w:ascii="Times New Roman;Times;Serif" w:hAnsi="Times New Roman;Times;Serif"/>
          <w:b w:val="false"/>
          <w:i w:val="false"/>
          <w:caps w:val="false"/>
          <w:smallCaps w:val="false"/>
          <w:sz w:val="20"/>
          <w:shd w:fill="FFFFFF" w:val="clear"/>
        </w:rPr>
        <w:t>centage of revenue have decreased by 5.8 percentage points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4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Selling, General and administrative expenses (SG&amp;A)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the first quarter of 2026 were RMB846 million (US$122 million), reflecting a 12.1% year-over-year increase, with a 14.3% year-over-year increase in HWC and a 5.6% year-over-year increase in HWI.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operating income, net </w:t>
      </w:r>
      <w:r>
        <w:rPr>
          <w:rFonts w:ascii="Times New Roman;Times;Serif" w:hAnsi="Times New Roman;Times;Serif"/>
          <w:b w:val="false"/>
          <w:i w:val="false"/>
          <w:caps w:val="false"/>
          <w:smallCaps w:val="false"/>
          <w:sz w:val="20"/>
          <w:shd w:fill="FFFFFF" w:val="clear"/>
        </w:rPr>
        <w:t>in the first quarter of 2026 was RMB22 million (US$3 million), compared to RMB60 million in the first quarter of 2025 and RMB259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in the first quarter of 2026 was RMB1.5 billion (US$217 million), reflecting a 37.5% year-over-year increase, driven primarily by a 31.8% year-on-year increase in HWC together with a 12.1% year-over-year increase in HWI.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margin</w:t>
      </w:r>
      <w:r>
        <w:rPr>
          <w:rFonts w:ascii="Times New Roman;Times;Serif" w:hAnsi="Times New Roman;Times;Serif"/>
          <w:b w:val="false"/>
          <w:i w:val="false"/>
          <w:caps w:val="false"/>
          <w:smallCaps w:val="false"/>
          <w:sz w:val="20"/>
          <w:shd w:fill="FFFFFF" w:val="clear"/>
        </w:rPr>
        <w:t>, defined as income from operations as a percentage of revenue, was 24.8% in the first quarter of 2026, compared with 20.1% in the first quarter of 2025 and 29.1% in the previous quarter. The year-over-year margin improvement was mainly driven by a higher revenue contribution from our M&amp;F businesses, consistent with our asset-light expansion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w:t>
      </w:r>
      <w:r>
        <w:rPr>
          <w:rFonts w:ascii="Times New Roman;Times;Serif" w:hAnsi="Times New Roman;Times;Serif"/>
          <w:b w:val="false"/>
          <w:i w:val="false"/>
          <w:caps w:val="false"/>
          <w:smallCaps w:val="false"/>
          <w:sz w:val="20"/>
        </w:rPr>
        <w:t xml:space="preserve"> in the first quarter of 2026 was RMB481 million (US$70 million), compared to RMB377 million in the first quarter of 2025 and RMB571 million in the previous quarter. The higher income tax expense in the quarter was due to non-deductible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attributable to H World Group Limited </w:t>
      </w:r>
      <w:r>
        <w:rPr>
          <w:rFonts w:ascii="Times New Roman;Times;Serif" w:hAnsi="Times New Roman;Times;Serif"/>
          <w:b w:val="false"/>
          <w:i w:val="false"/>
          <w:caps w:val="false"/>
          <w:smallCaps w:val="false"/>
          <w:sz w:val="20"/>
        </w:rPr>
        <w:t>in the first quarter of 2026 was RMB817 million (US$118 million), reflecting an 8.6% year-over-year decrease, mainly due to a 10.0% year-over-year decrease in HWC.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(non-GAAP) </w:t>
      </w:r>
      <w:r>
        <w:rPr>
          <w:rFonts w:ascii="Times New Roman;Times;Serif" w:hAnsi="Times New Roman;Times;Serif"/>
          <w:b w:val="false"/>
          <w:i w:val="false"/>
          <w:caps w:val="false"/>
          <w:smallCaps w:val="false"/>
          <w:sz w:val="20"/>
        </w:rPr>
        <w:t>in the first quarter of 2026 was RMB1.6 billion (US$232 million), compared with RMB1.6 billion in the first quarter of 2025 and RMB2.1 billion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w:t>
      </w:r>
      <w:r>
        <w:rPr>
          <w:rFonts w:ascii="Times New Roman;Times;Serif" w:hAnsi="Times New Roman;Times;Serif"/>
          <w:b w:val="false"/>
          <w:i w:val="false"/>
          <w:caps w:val="false"/>
          <w:smallCaps w:val="false"/>
          <w:sz w:val="20"/>
        </w:rPr>
        <w:t>, which excluded the following from EBITDA (non-GAAP): share-based compensation expenses, gain (loss) from fair value changes of equity securities, foreign exchange gain (loss), net, and gain (loss) on disposal of investments, was RMB1.9 billion (US$269 million) in the first quarter of 2026, compared with RMB1.5 billion in the first quarter of 2025 and RMB2.2 billion in the previous quarter. Adjusted EBITDA from the HWC segment, which is a segment measure, was RMB1.9 billion in the first quarter of 2026, compared with RMB1.6 billion in the first quarter of 2025 and RMB1.9 billion in the previous quarter. Adjusted EBITDA from the HWI segment, which is a segment measure, was a loss of RMB56 million in the first quarter of 2026, compared with a loss of RMB78 million in the first quarter of 2025 and a gain of RMB327 million in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flow. </w:t>
      </w:r>
      <w:r>
        <w:rPr>
          <w:rFonts w:ascii="Times New Roman;Times;Serif" w:hAnsi="Times New Roman;Times;Serif"/>
          <w:b w:val="false"/>
          <w:i w:val="false"/>
          <w:caps w:val="false"/>
          <w:smallCaps w:val="false"/>
          <w:sz w:val="20"/>
        </w:rPr>
        <w:t>Operating cash inflow in the first quarter of 2026 was RMB233 million (US$33 million). Investing cash inflow in the first quarter of 2026 was RMB1.4 billion (US$207 million)</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Financing cash inflow in the first quarter of 2026 was RMB416 million (US$60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cash equivalents and restricted cash.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As of March 31, 2026, the Company had a total balance of cash and cash equivalents of RMB12.4 billion (US$1.8 billion) and restricted cash of RMB141 million (US$20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5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financing. </w:t>
      </w:r>
      <w:r>
        <w:rPr>
          <w:rFonts w:ascii="Times New Roman;Times;Serif" w:hAnsi="Times New Roman;Times;Serif"/>
          <w:b w:val="false"/>
          <w:i w:val="false"/>
          <w:caps w:val="false"/>
          <w:smallCaps w:val="false"/>
          <w:sz w:val="20"/>
          <w:shd w:fill="FFFFFF" w:val="clear"/>
        </w:rPr>
        <w:t>As of March 31, 2026, the Company had total debt of RMB6.2 billion (US$897 million). The net cash balances, which include cash and cash equivalents, restricted cash, net of short-term and long-term debt, amounted to RMB6.3 billion (US$915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May 2020, the Company issued US$500 million of Convertible Senior Notes (the “2026 Notes”). The 2026 Notes matured on May 1, 2026, upon which an aggregate principal of US$499.6 million under the notes was converted into 13 million ADSs. The Company redeemed the remaining principal balance of US$0.4 million of the 2026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Resignation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“Board”) hereby announces that Ms. Jie Zheng has informed the Board to resign as an executive Director, effective from May 15, 2026, to pursue other interests. Ms.Zheng has kindly agreed to continue to support the Company as a senior advisor to the Company to ensure a smooth transition. During her tenure, Ms. Zheng actively and diligently discharged her duties as an executive Director of the Company, in particular in successfully returning the European business to profitability. The Board hereby expresses its sincere gratitude to Ms.Zheng for her highly effective work during her tenure and her contributions to the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management will host a conference call at 7 a.m. (U.S. Eastern time) on Friday, May 15, 2026 (or 7 p.m. (Hong Kong time) on Friday, May 15, 2026) following the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join by phone, all participants must pre-register this conference call using the Participant Registration link of </w:t>
      </w:r>
      <w:r>
        <w:rPr>
          <w:rFonts w:ascii="Times New Roman;Times;Serif" w:hAnsi="Times New Roman;Times;Serif"/>
          <w:b w:val="false"/>
          <w:i w:val="false"/>
          <w:caps w:val="false"/>
          <w:smallCaps w:val="false"/>
          <w:sz w:val="20"/>
          <w:u w:val="single"/>
        </w:rPr>
        <w:t>https://register-conf.media-server.com/register/BIec456343c7c34361958c8a8dfcab30c8.</w:t>
      </w:r>
      <w:r>
        <w:rPr>
          <w:rFonts w:ascii="Times New Roman;Times;Serif" w:hAnsi="Times New Roman;Times;Serif"/>
          <w:b w:val="false"/>
          <w:i w:val="false"/>
          <w:caps w:val="false"/>
          <w:smallCaps w:val="false"/>
          <w:sz w:val="20"/>
        </w:rPr>
        <w:t xml:space="preserve"> Upon registration, each participant will receive details for the conference call, including dial-in numbers, conference call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call can be accessed at </w:t>
      </w:r>
      <w:r>
        <w:rPr>
          <w:rFonts w:ascii="Times New Roman;Times;Serif" w:hAnsi="Times New Roman;Times;Serif"/>
          <w:b w:val="false"/>
          <w:i w:val="false"/>
          <w:caps w:val="false"/>
          <w:smallCaps w:val="false"/>
          <w:sz w:val="20"/>
          <w:u w:val="single"/>
        </w:rPr>
        <w:t>https://edge.media-server.com/mmc/p/apgspznn</w:t>
      </w:r>
      <w:r>
        <w:rPr>
          <w:rFonts w:ascii="Times New Roman;Times;Serif" w:hAnsi="Times New Roman;Times;Serif"/>
          <w:b w:val="false"/>
          <w:i w:val="false"/>
          <w:caps w:val="false"/>
          <w:smallCaps w:val="false"/>
          <w:sz w:val="20"/>
        </w:rPr>
        <w:t xml:space="preserve"> or the Company’s website at </w:t>
      </w:r>
      <w:r>
        <w:rPr>
          <w:rFonts w:ascii="Times New Roman;Times;Serif" w:hAnsi="Times New Roman;Times;Serif"/>
          <w:b w:val="false"/>
          <w:i w:val="false"/>
          <w:caps w:val="false"/>
          <w:smallCaps w:val="false"/>
          <w:sz w:val="20"/>
          <w:u w:val="single"/>
        </w:rPr>
        <w:t>https://ir.hworld.com/news-and-events/events-calendar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replay of the conference call will be available for twelve months from the date of the conference at the Company’s website, </w:t>
      </w:r>
      <w:r>
        <w:rPr>
          <w:rFonts w:ascii="Times New Roman;Times;Serif" w:hAnsi="Times New Roman;Times;Serif"/>
          <w:b w:val="false"/>
          <w:i w:val="false"/>
          <w:caps w:val="false"/>
          <w:smallCaps w:val="false"/>
          <w:sz w:val="20"/>
          <w:u w:val="single"/>
        </w:rPr>
        <w:t>https://ir.hworld.com/news-and-events/events-calendar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6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unaudited consolidated financial results presented in accordance with U.S. Generally-Accepted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the Company uses the following non-GAAP measures defined as non-GAAP financial measures by the U.S.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adjusted net income (loss) attributable to H World Group Limited excluding share-based compensation expenses, gain (loss) from fair value changes of equity securities, foreign exchange gain (loss), net, and gain (loss) on disposal of investments; adjusted basic and diluted earnings (losses) per share/American Depositary Share (“ADS”) excluding share-based compensation expenses, gain (loss) from fair value changes of equity securities, foreign exchange gain (loss), net, and gain (loss) on disposal of investments; EBITDA; adjusted EBITDA excluding share-based compensation expenses, gain (loss) from fair value changes of equity securities, foreign exchange gain (loss), net, and gain (loss) on disposal of investments.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“Unaudited Reconciliations of GAAP and non-GAAP Results” set forth at the end of this release. The Company believes that these non-GAAP financial measures provide meaningful supplemental information regarding Company performance </w:t>
      </w:r>
      <w:r>
        <w:rPr>
          <w:rFonts w:ascii="Times New Roman;Times;Serif" w:hAnsi="Times New Roman;Times;Serif"/>
          <w:b w:val="false"/>
          <w:i w:val="false"/>
          <w:caps w:val="false"/>
          <w:smallCaps w:val="false"/>
          <w:sz w:val="20"/>
          <w:shd w:fill="FFFFFF" w:val="clear"/>
        </w:rPr>
        <w:t>by excluding share-based compensation expenses, gain (loss) from fair value changes of equity securities, foreign exchange gain (loss), net, and gain (loss) on disposal of investments</w:t>
      </w:r>
      <w:r>
        <w:rPr>
          <w:rFonts w:ascii="Times New Roman;Times;Serif" w:hAnsi="Times New Roman;Times;Serif"/>
          <w:b w:val="false"/>
          <w:i w:val="false"/>
          <w:caps w:val="false"/>
          <w:smallCaps w:val="false"/>
          <w:sz w:val="20"/>
        </w:rPr>
        <w:t xml:space="preserve"> that may not be indicative of Company operating performance. The Company believes that both management and investors benefit from referring to these non-GAAP financial measures in assessing Company performance and when planning and forecasting future periods. These non-GAAP financial measures also facilitate management’s internal comparisons to the Company’s historical performance. The Company believes these non-GAAP financial measures are also useful to investors in allowing for greater transparency with respect to supplemental information used regularly by Company management in financial and operational decision-making. A limitation of using non-GAAP financial measures </w:t>
      </w:r>
      <w:r>
        <w:rPr>
          <w:rFonts w:ascii="Times New Roman;Times;Serif" w:hAnsi="Times New Roman;Times;Serif"/>
          <w:b w:val="false"/>
          <w:i w:val="false"/>
          <w:caps w:val="false"/>
          <w:smallCaps w:val="false"/>
          <w:sz w:val="20"/>
          <w:shd w:fill="FFFFFF" w:val="clear"/>
        </w:rPr>
        <w:t>excluding share-based compensation expenses, gain (loss) from fair value changes of equity securities, foreign exchange gain (loss), net, and gain (loss) on disposal of investments is that share-based compensation expenses, gain (loss) from fair value changes of equity securities, foreign exchange gain (loss), net, and gain (loss) on disposal of investments have been and may continue to be significant and recurring in the Company’s business.</w:t>
      </w:r>
      <w:r>
        <w:rPr>
          <w:rFonts w:ascii="Times New Roman;Times;Serif" w:hAnsi="Times New Roman;Times;Serif"/>
          <w:b w:val="false"/>
          <w:i w:val="false"/>
          <w:caps w:val="false"/>
          <w:smallCaps w:val="false"/>
          <w:sz w:val="20"/>
        </w:rPr>
        <w:t xml:space="preserve">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EBITDA is a useful financial metric to assess the operating and financial performance before the impact of investing and financing transactions and income taxes, given the significant investments that the Company has made in leasehold improvements, depreciation and amortization expense that comprise a significant portion of the Company’s cost structure. In addition, the Company believes that EBITDA is widely used by other companies in the lodging industry and may be used by investors as a measure of financial performance. The Company believes that EBITDA information provides investors with a useful tool for comparability between periods because it excludes depreciation and amortization expense attributable to capital expenditures. The Company also uses adjusted EBITDA to assess operating results of its hotels in operation. The Company believes that the exclusion of share-based compensation expenses, gain (loss) from fair value changes of equity securities, foreign exchange gain (loss), net, and gain (loss) on disposal of investments helps facilitate year-over-year comparisons of the results of operations as the share-based compensation expenses, gain (loss) from fair value changes of equity securities, foreign exchange gain (loss), net, and gain (loss) on disposal of investments may not be indicative of Company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7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Company believes adjusted EBITDA more closely reflects the financial performance capability of Company’s hotels. The presentation of EBITDA and adjusted EBITDA should not be construed as an indication that the Company’s future results will be unaffected by other charges and gains considered to be outside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EBITDA and adjusted EBITDA has certain limitations. Depreciation and amortization expense for various long-term assets (including land use rights), income tax, interest expense and interest income have been and will be incurred and are not reflected in the presentation of EBITDA. Share-based compensation expenses, gain (loss) from fair value changes of equity securities, foreign exchange gain (loss), net, and gain (loss) on disposal of investments have been and will be incurred and are not reflected in the presentation of adjusted EBITDA. Each of these items should also be considered in the overall evaluation of the results. The Company compensates for these limitations by providing the relevant disclosure of depreciation and amortization, interest income, interest expense, income tax expense, share-based compensation expenses, gain (loss) from fair value changes of equity securities, foreign exchange gain (loss), net, and gain (loss) on disposal of investments all in the reconciliations to the U.S. GAAP financial measures and in the consolidated financial statements, all of which should be considered when evaluating the performance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EBITDA and adjusted EBITDA are not defined under U.S. GAAP, and neither EBITDA nor adjusted EBITDA is a measure of net income, operating income, operating performance or liquidity presented in accordance with U.S. GAAP. When assessing the operating and financial performance, investors should not consider these data in isolation or as a substitute for the Company’s net income, operating income or any other operating performance measure that is calculated in accordance with U.S. GAAP. In addition, the Company’s EBITDA or adjusted EBITDA may not be comparable to EBITDA or adjusted EBITDA or similarly titled measures utilized by other companies since such other companies may not calculate EBITDA or adjusted EBITDA in the same manner as the Company does.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8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the Company’s non-GAAP financial measures, including EBITDA and adjusted EBITDA, to the consolidated statement of operations information are included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 World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Originated in China, H World Group Limited is a key player in the global hotel industry. As of March 31, 2026, H World operated 13,215 hotels with 1,303,563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March 31, 2026, H World operated 7 percent of its hotel rooms under the L&amp;O model, and 93 percent under the M&amp;F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 Under the U.S. Private Securities Litigation Reform Act of 1995: The information in this release contains forward-looking statements which involve risks and uncertainties. Such factors and risks include our anticipated growth strategies; our future results of operations and financial condition; economic conditions; the regulatory environment; our ability to attract and retain customers and leverage our brands; trends and competition in the lodging industry; the expected growth of demand for lodging; and other factors and risks detailed in our filings with the U.S. Securities and Exchange Commission. Any statements contained herein that are not statements of historical fact may be deemed to be forward-looking statements, which may be identified by terminology such as “may,” “should,” “will,” “expect,” “plan,” “intend,” “anticipate,” “believe,” “estimate,” “predict,” “potential,” “forecast,” “project” or “continue,” the negative of such terms or other comparable terminology. Readers should not rely on forward-looking statements as predictions of future events or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World undertakes no obligation to update or revise any forward-looking statements, whether as a result of new information, future events or otherwise, unless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Financial Tables and Operational Data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9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World Group Limited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283"/>
        <w:jc w:val="left"/>
        <w:rPr/>
      </w:pPr>
      <w:r>
        <w:rPr/>
        <w:t> </w:t>
      </w:r>
    </w:p>
    <w:tbl>
      <w:tblPr>
        <w:tblW w:w="7545" w:type="dxa"/>
        <w:jc w:val="left"/>
        <w:tblInd w:w="0" w:type="dxa"/>
        <w:tblLayout w:type="fixed"/>
        <w:tblCellMar>
          <w:top w:w="0" w:type="dxa"/>
          <w:left w:w="0" w:type="dxa"/>
          <w:bottom w:w="0" w:type="dxa"/>
          <w:right w:w="0" w:type="dxa"/>
        </w:tblCellMar>
      </w:tblPr>
      <w:tblGrid>
        <w:gridCol w:w="4115"/>
        <w:gridCol w:w="60"/>
        <w:gridCol w:w="150"/>
        <w:gridCol w:w="1489"/>
        <w:gridCol w:w="80"/>
        <w:gridCol w:w="60"/>
        <w:gridCol w:w="60"/>
        <w:gridCol w:w="598"/>
        <w:gridCol w:w="81"/>
        <w:gridCol w:w="60"/>
        <w:gridCol w:w="60"/>
        <w:gridCol w:w="492"/>
        <w:gridCol w:w="240"/>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r>
              <w:rPr>
                <w:rFonts w:ascii="Times New Roman;Times;Serif" w:hAnsi="Times New Roman;Times;Serif"/>
                <w:b/>
                <w:i w:val="false"/>
                <w:caps w:val="false"/>
                <w:smallCaps w:val="false"/>
                <w:position w:val="7"/>
                <w:sz w:val="16"/>
                <w:sz w:val="20"/>
              </w:rPr>
              <w:t>6</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ind w:left="0" w:right="0" w:firstLine="165"/>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 - current,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3,549</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ind w:left="0" w:right="0" w:firstLine="165"/>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w:t>
            </w:r>
          </w:p>
        </w:tc>
        <w:tc>
          <w:tcPr>
            <w:tcW w:w="240" w:type="dxa"/>
            <w:tcBorders/>
            <w:shd w:fill="FFFF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240" w:type="dxa"/>
            <w:tcBorders/>
            <w:shd w:fill="CCEEFF" w:val="clear"/>
            <w:vAlign w:val="center"/>
          </w:tcPr>
          <w:p>
            <w:pPr>
              <w:pStyle w:val="TableContents"/>
              <w:bidi w:val="0"/>
              <w:spacing w:before="0" w:after="283"/>
              <w:ind w:left="0" w:right="0" w:firstLine="165"/>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19,071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2,765</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53,062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7,693</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Treasury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 World Group Limited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6</w:t>
            </w:r>
          </w:p>
        </w:tc>
        <w:tc>
          <w:tcPr>
            <w:tcW w:w="10057" w:type="dxa"/>
            <w:tcBorders/>
            <w:vAlign w:val="center"/>
          </w:tcPr>
          <w:p>
            <w:pPr>
              <w:pStyle w:val="TableContents"/>
              <w:bidi w:val="0"/>
              <w:spacing w:before="0" w:after="283"/>
              <w:jc w:val="both"/>
              <w:rPr/>
            </w:pPr>
            <w:r>
              <w:rPr/>
              <w:t>The conversion of Renminbi (“</w:t>
            </w:r>
            <w:r>
              <w:rPr>
                <w:b/>
              </w:rPr>
              <w:t>RMB</w:t>
            </w:r>
            <w:r>
              <w:rPr/>
              <w:t>”) into U.S. dollars (“</w:t>
            </w:r>
            <w:r>
              <w:rPr>
                <w:b/>
              </w:rPr>
              <w:t>US$</w:t>
            </w:r>
            <w:r>
              <w:rPr/>
              <w:t>”) is based on the exchange rate of US$1.00=RMB6.8980 on March 31, 2026, as set forth in H.10 statistical release of the U.S. Federal Reserve Board and available at http://www.federalreserve.gov/releases/h10/hist/dat00_ch.htm.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10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76"/>
        <w:gridCol w:w="60"/>
        <w:gridCol w:w="62"/>
        <w:gridCol w:w="1257"/>
        <w:gridCol w:w="80"/>
        <w:gridCol w:w="60"/>
        <w:gridCol w:w="70"/>
        <w:gridCol w:w="1426"/>
        <w:gridCol w:w="80"/>
        <w:gridCol w:w="60"/>
        <w:gridCol w:w="60"/>
        <w:gridCol w:w="1205"/>
        <w:gridCol w:w="80"/>
        <w:gridCol w:w="60"/>
        <w:gridCol w:w="60"/>
        <w:gridCol w:w="1205"/>
        <w:gridCol w:w="404"/>
      </w:tblGrid>
      <w:tr>
        <w:trPr/>
        <w:tc>
          <w:tcPr>
            <w:tcW w:w="39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65"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shares, per share and per ADS data)</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ind w:left="0" w:right="0" w:firstLine="130"/>
              <w:jc w:val="left"/>
              <w:rPr/>
            </w:pPr>
            <w:r>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404" w:type="dxa"/>
            <w:tcBorders/>
            <w:shd w:fill="FFFFFF" w:val="clear"/>
            <w:vAlign w:val="center"/>
          </w:tcPr>
          <w:p>
            <w:pPr>
              <w:pStyle w:val="TableContents"/>
              <w:bidi w:val="0"/>
              <w:spacing w:before="0" w:after="283"/>
              <w:ind w:left="0" w:right="0" w:firstLine="130"/>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404" w:type="dxa"/>
            <w:tcBorders/>
            <w:shd w:fill="CCEEFF" w:val="clear"/>
            <w:vAlign w:val="center"/>
          </w:tcPr>
          <w:p>
            <w:pPr>
              <w:pStyle w:val="TableContents"/>
              <w:bidi w:val="0"/>
              <w:spacing w:before="0" w:after="283"/>
              <w:ind w:left="0" w:right="0" w:firstLine="130"/>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ind w:left="0" w:right="0" w:firstLine="130"/>
              <w:jc w:val="left"/>
              <w:rPr/>
            </w:pPr>
            <w:r>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ind w:left="0" w:right="0" w:firstLine="307"/>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404" w:type="dxa"/>
            <w:tcBorders/>
            <w:shd w:fill="CCEEFF" w:val="clear"/>
            <w:vAlign w:val="center"/>
          </w:tcPr>
          <w:p>
            <w:pPr>
              <w:pStyle w:val="TableContents"/>
              <w:bidi w:val="0"/>
              <w:spacing w:before="0" w:after="283"/>
              <w:ind w:left="0" w:right="0" w:firstLine="30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04" w:type="dxa"/>
            <w:tcBorders/>
            <w:shd w:fill="FFFFFF" w:val="clear"/>
            <w:vAlign w:val="center"/>
          </w:tcPr>
          <w:p>
            <w:pPr>
              <w:pStyle w:val="TableContents"/>
              <w:bidi w:val="0"/>
              <w:spacing w:before="0" w:after="283"/>
              <w:ind w:left="0" w:right="0" w:firstLine="30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404" w:type="dxa"/>
            <w:tcBorders/>
            <w:shd w:fill="CCEEFF" w:val="clear"/>
            <w:vAlign w:val="center"/>
          </w:tcPr>
          <w:p>
            <w:pPr>
              <w:pStyle w:val="TableContents"/>
              <w:bidi w:val="0"/>
              <w:spacing w:before="0" w:after="283"/>
              <w:ind w:left="0" w:right="0" w:firstLine="30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404" w:type="dxa"/>
            <w:tcBorders/>
            <w:shd w:fill="FFFFFF" w:val="clear"/>
            <w:vAlign w:val="center"/>
          </w:tcPr>
          <w:p>
            <w:pPr>
              <w:pStyle w:val="TableContents"/>
              <w:bidi w:val="0"/>
              <w:spacing w:before="0" w:after="283"/>
              <w:ind w:left="0" w:right="0" w:firstLine="30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Consumables, food and beverage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404" w:type="dxa"/>
            <w:tcBorders/>
            <w:shd w:fill="CCEEFF" w:val="clear"/>
            <w:vAlign w:val="center"/>
          </w:tcPr>
          <w:p>
            <w:pPr>
              <w:pStyle w:val="TableContents"/>
              <w:bidi w:val="0"/>
              <w:spacing w:before="0" w:after="283"/>
              <w:ind w:left="0" w:right="0" w:firstLine="30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404" w:type="dxa"/>
            <w:tcBorders/>
            <w:shd w:fill="FFFF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hotel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w:t>
            </w:r>
          </w:p>
        </w:tc>
        <w:tc>
          <w:tcPr>
            <w:tcW w:w="404" w:type="dxa"/>
            <w:tcBorders/>
            <w:shd w:fill="CCEE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04" w:type="dxa"/>
            <w:tcBorders/>
            <w:shd w:fill="FFFF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04" w:type="dxa"/>
            <w:tcBorders/>
            <w:shd w:fill="CCEE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404" w:type="dxa"/>
            <w:tcBorders/>
            <w:shd w:fill="FFFF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404" w:type="dxa"/>
            <w:tcBorders/>
            <w:shd w:fill="FFFFFF" w:val="clear"/>
            <w:vAlign w:val="center"/>
          </w:tcPr>
          <w:p>
            <w:pPr>
              <w:pStyle w:val="TableContents"/>
              <w:bidi w:val="0"/>
              <w:spacing w:before="0" w:after="283"/>
              <w:ind w:left="0" w:right="0" w:firstLine="1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equity method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H World Group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arising from defined benefit plan,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debt securities,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404" w:type="dxa"/>
            <w:tcBorders/>
            <w:shd w:fill="FFFFFF" w:val="clear"/>
            <w:vAlign w:val="center"/>
          </w:tcPr>
          <w:p>
            <w:pPr>
              <w:pStyle w:val="TableContents"/>
              <w:bidi w:val="0"/>
              <w:spacing w:before="0" w:after="283"/>
              <w:ind w:left="0" w:right="0" w:firstLine="1"/>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04" w:type="dxa"/>
            <w:tcBorders/>
            <w:shd w:fill="CCEEFF" w:val="clear"/>
            <w:vAlign w:val="center"/>
          </w:tcPr>
          <w:p>
            <w:pPr>
              <w:pStyle w:val="TableContents"/>
              <w:bidi w:val="0"/>
              <w:spacing w:before="0" w:after="283"/>
              <w:ind w:left="0" w:right="0" w:firstLine="1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attributable to H World Group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(Losses) per share: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ind w:left="0" w:right="0" w:firstLine="157"/>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404" w:type="dxa"/>
            <w:tcBorders/>
            <w:shd w:fill="CCEEFF" w:val="clear"/>
            <w:vAlign w:val="center"/>
          </w:tcPr>
          <w:p>
            <w:pPr>
              <w:pStyle w:val="TableContents"/>
              <w:bidi w:val="0"/>
              <w:spacing w:before="0" w:after="283"/>
              <w:ind w:left="0" w:right="0" w:firstLine="157"/>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(Losses) per ADS: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ind w:left="0" w:right="0" w:firstLine="157"/>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0.39</w:t>
            </w:r>
          </w:p>
        </w:tc>
        <w:tc>
          <w:tcPr>
            <w:tcW w:w="404" w:type="dxa"/>
            <w:tcBorders/>
            <w:shd w:fill="CCEEFF" w:val="clear"/>
            <w:vAlign w:val="center"/>
          </w:tcPr>
          <w:p>
            <w:pPr>
              <w:pStyle w:val="TableContents"/>
              <w:bidi w:val="0"/>
              <w:spacing w:before="0" w:after="283"/>
              <w:ind w:left="0" w:right="0" w:firstLine="157"/>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404" w:type="dxa"/>
            <w:tcBorders/>
            <w:shd w:fill="FFFFFF" w:val="clear"/>
            <w:vAlign w:val="center"/>
          </w:tcPr>
          <w:p>
            <w:pPr>
              <w:pStyle w:val="TableContents"/>
              <w:bidi w:val="0"/>
              <w:spacing w:before="0" w:after="283"/>
              <w:ind w:left="0" w:right="0" w:firstLine="157"/>
              <w:jc w:val="left"/>
              <w:rPr/>
            </w:pPr>
            <w:r>
              <w:rPr/>
              <w:t> </w:t>
            </w:r>
          </w:p>
        </w:tc>
      </w:tr>
      <w:tr>
        <w:trPr/>
        <w:tc>
          <w:tcPr>
            <w:tcW w:w="39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3,066,765,293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3,068,046,594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404" w:type="dxa"/>
            <w:tcBorders/>
            <w:shd w:fill="CCEEFF" w:val="clear"/>
            <w:vAlign w:val="center"/>
          </w:tcPr>
          <w:p>
            <w:pPr>
              <w:pStyle w:val="TableContents"/>
              <w:bidi w:val="0"/>
              <w:spacing w:before="0" w:after="283"/>
              <w:ind w:left="0" w:right="0" w:firstLine="157"/>
              <w:jc w:val="left"/>
              <w:rPr>
                <w:caps w:val="false"/>
                <w:smallCaps w:val="false"/>
              </w:rPr>
            </w:pPr>
            <w:r>
              <w:rPr>
                <w:caps w:val="false"/>
                <w:smallCaps w:val="false"/>
              </w:rPr>
              <w:t> </w:t>
            </w:r>
          </w:p>
        </w:tc>
      </w:tr>
      <w:tr>
        <w:trPr/>
        <w:tc>
          <w:tcPr>
            <w:tcW w:w="39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3,232,049,635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3,256,974,776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4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11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513"/>
        <w:gridCol w:w="60"/>
        <w:gridCol w:w="110"/>
        <w:gridCol w:w="1015"/>
        <w:gridCol w:w="80"/>
        <w:gridCol w:w="60"/>
        <w:gridCol w:w="129"/>
        <w:gridCol w:w="1281"/>
        <w:gridCol w:w="80"/>
        <w:gridCol w:w="60"/>
        <w:gridCol w:w="60"/>
        <w:gridCol w:w="594"/>
        <w:gridCol w:w="80"/>
        <w:gridCol w:w="60"/>
        <w:gridCol w:w="60"/>
        <w:gridCol w:w="488"/>
        <w:gridCol w:w="475"/>
      </w:tblGrid>
      <w:tr>
        <w:trPr/>
        <w:tc>
          <w:tcPr>
            <w:tcW w:w="55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5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57"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376"/>
              <w:jc w:val="left"/>
              <w:rPr/>
            </w:pPr>
            <w:r>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75" w:type="dxa"/>
            <w:tcBorders/>
            <w:shd w:fill="CCEE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5" w:type="dxa"/>
            <w:tcBorders/>
            <w:shd w:fill="FFFF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equity method investments, net of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75" w:type="dxa"/>
            <w:tcBorders/>
            <w:shd w:fill="CCEEFF" w:val="clear"/>
            <w:vAlign w:val="center"/>
          </w:tcPr>
          <w:p>
            <w:pPr>
              <w:pStyle w:val="TableContents"/>
              <w:bidi w:val="0"/>
              <w:spacing w:before="0" w:after="283"/>
              <w:ind w:left="0" w:right="0" w:firstLine="3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loss and foreign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475" w:type="dxa"/>
            <w:tcBorders/>
            <w:shd w:fill="FFFF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475" w:type="dxa"/>
            <w:tcBorders/>
            <w:shd w:fill="CCEEFF" w:val="clear"/>
            <w:vAlign w:val="center"/>
          </w:tcPr>
          <w:p>
            <w:pPr>
              <w:pStyle w:val="TableContents"/>
              <w:bidi w:val="0"/>
              <w:spacing w:before="0" w:after="283"/>
              <w:ind w:left="0" w:right="0" w:firstLine="3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475" w:type="dxa"/>
            <w:tcBorders/>
            <w:shd w:fill="CCEE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ind w:left="0" w:right="0" w:firstLine="376"/>
              <w:jc w:val="left"/>
              <w:rPr/>
            </w:pPr>
            <w:r>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475" w:type="dxa"/>
            <w:tcBorders/>
            <w:shd w:fill="FFFFFF" w:val="clear"/>
            <w:vAlign w:val="center"/>
          </w:tcPr>
          <w:p>
            <w:pPr>
              <w:pStyle w:val="TableContents"/>
              <w:bidi w:val="0"/>
              <w:spacing w:before="0" w:after="283"/>
              <w:ind w:left="0" w:right="0" w:firstLine="3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475" w:type="dxa"/>
            <w:tcBorders/>
            <w:shd w:fill="CCEEFF" w:val="clear"/>
            <w:vAlign w:val="center"/>
          </w:tcPr>
          <w:p>
            <w:pPr>
              <w:pStyle w:val="TableContents"/>
              <w:bidi w:val="0"/>
              <w:spacing w:before="0" w:after="283"/>
              <w:ind w:left="0" w:right="0" w:firstLine="3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maturity/sale and return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475" w:type="dxa"/>
            <w:tcBorders/>
            <w:shd w:fill="FFFF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advances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5" w:type="dxa"/>
            <w:tcBorders/>
            <w:shd w:fill="CCEEFF" w:val="clear"/>
            <w:vAlign w:val="center"/>
          </w:tcPr>
          <w:p>
            <w:pPr>
              <w:pStyle w:val="TableContents"/>
              <w:bidi w:val="0"/>
              <w:spacing w:before="0" w:after="283"/>
              <w:ind w:left="0" w:right="0" w:firstLine="3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collections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75" w:type="dxa"/>
            <w:tcBorders/>
            <w:shd w:fill="FFFF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475" w:type="dxa"/>
            <w:tcBorders/>
            <w:shd w:fill="FFFFFF" w:val="clear"/>
            <w:vAlign w:val="center"/>
          </w:tcPr>
          <w:p>
            <w:pPr>
              <w:pStyle w:val="TableContents"/>
              <w:bidi w:val="0"/>
              <w:spacing w:before="0" w:after="283"/>
              <w:ind w:left="0" w:right="0" w:firstLine="376"/>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8" w:type="dxa"/>
            <w:tcBorders/>
            <w:shd w:fill="CCEEFF" w:val="clear"/>
            <w:vAlign w:val="center"/>
          </w:tcPr>
          <w:p>
            <w:pPr>
              <w:pStyle w:val="TableContents"/>
              <w:bidi w:val="0"/>
              <w:spacing w:before="0" w:after="283"/>
              <w:jc w:val="right"/>
              <w:rPr/>
            </w:pPr>
            <w:r>
              <w:rPr/>
              <w:t> </w:t>
            </w:r>
          </w:p>
        </w:tc>
        <w:tc>
          <w:tcPr>
            <w:tcW w:w="475" w:type="dxa"/>
            <w:tcBorders/>
            <w:shd w:fill="CCEEFF" w:val="clear"/>
            <w:vAlign w:val="center"/>
          </w:tcPr>
          <w:p>
            <w:pPr>
              <w:pStyle w:val="TableContents"/>
              <w:bidi w:val="0"/>
              <w:spacing w:before="0" w:after="283"/>
              <w:jc w:val="left"/>
              <w:rPr/>
            </w:pPr>
            <w:r>
              <w:rPr/>
              <w:t> </w:t>
            </w:r>
          </w:p>
        </w:tc>
      </w:tr>
      <w:tr>
        <w:trPr/>
        <w:tc>
          <w:tcPr>
            <w:tcW w:w="55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share repurchase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4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right"/>
              <w:rPr/>
            </w:pPr>
            <w:r>
              <w:rPr/>
              <w:t> </w:t>
            </w:r>
          </w:p>
        </w:tc>
        <w:tc>
          <w:tcPr>
            <w:tcW w:w="475" w:type="dxa"/>
            <w:tcBorders/>
            <w:shd w:fill="FFFFFF" w:val="clear"/>
            <w:vAlign w:val="center"/>
          </w:tcPr>
          <w:p>
            <w:pPr>
              <w:pStyle w:val="TableContents"/>
              <w:bidi w:val="0"/>
              <w:spacing w:before="0" w:after="283"/>
              <w:jc w:val="left"/>
              <w:rPr/>
            </w:pPr>
            <w:r>
              <w:rPr/>
              <w:t> </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 including cash classified within 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increase (decrease) in cash and cash equivalents classified within assets held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w:t>
            </w:r>
          </w:p>
        </w:tc>
        <w:tc>
          <w:tcPr>
            <w:tcW w:w="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12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12"/>
        <w:gridCol w:w="60"/>
        <w:gridCol w:w="62"/>
        <w:gridCol w:w="1254"/>
        <w:gridCol w:w="80"/>
        <w:gridCol w:w="60"/>
        <w:gridCol w:w="69"/>
        <w:gridCol w:w="1411"/>
        <w:gridCol w:w="80"/>
        <w:gridCol w:w="60"/>
        <w:gridCol w:w="60"/>
        <w:gridCol w:w="1205"/>
        <w:gridCol w:w="60"/>
        <w:gridCol w:w="60"/>
        <w:gridCol w:w="60"/>
        <w:gridCol w:w="1205"/>
        <w:gridCol w:w="207"/>
      </w:tblGrid>
      <w:tr>
        <w:trPr/>
        <w:tc>
          <w:tcPr>
            <w:tcW w:w="4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26"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shares, per share and per ADS data)</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H World Group Limited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equity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disposal of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(loss) attributable to H World Group Limited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ind w:left="0" w:right="0" w:firstLine="130"/>
              <w:jc w:val="left"/>
              <w:rPr/>
            </w:pPr>
            <w:r>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(losses) per share (non-GAAP)</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(losses) per ADS (non-GAAP)</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0.49</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r>
      <w:tr>
        <w:trPr/>
        <w:tc>
          <w:tcPr>
            <w:tcW w:w="42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r>
      <w:tr>
        <w:trPr/>
        <w:tc>
          <w:tcPr>
            <w:tcW w:w="4212" w:type="dxa"/>
            <w:tcBorders/>
            <w:shd w:fill="FFFF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3,066,765,293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3,068,046,594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3,072,694,153</w:t>
            </w:r>
          </w:p>
        </w:tc>
        <w:tc>
          <w:tcPr>
            <w:tcW w:w="2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12" w:type="dxa"/>
            <w:tcBorders/>
            <w:shd w:fill="CCEEFF" w:val="cle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3,232,049,635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3,256,974,776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3,270,612,951</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449"/>
        <w:gridCol w:w="60"/>
        <w:gridCol w:w="145"/>
        <w:gridCol w:w="1198"/>
        <w:gridCol w:w="80"/>
        <w:gridCol w:w="60"/>
        <w:gridCol w:w="178"/>
        <w:gridCol w:w="1450"/>
        <w:gridCol w:w="80"/>
        <w:gridCol w:w="60"/>
        <w:gridCol w:w="74"/>
        <w:gridCol w:w="605"/>
        <w:gridCol w:w="99"/>
        <w:gridCol w:w="74"/>
        <w:gridCol w:w="74"/>
        <w:gridCol w:w="418"/>
        <w:gridCol w:w="101"/>
      </w:tblGrid>
      <w:tr>
        <w:trPr/>
        <w:tc>
          <w:tcPr>
            <w:tcW w:w="5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4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H World Group Limited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fair value changes of equity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disposal of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49"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13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Financial Summary</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31"/>
        <w:gridCol w:w="60"/>
        <w:gridCol w:w="90"/>
        <w:gridCol w:w="645"/>
        <w:gridCol w:w="90"/>
        <w:gridCol w:w="90"/>
        <w:gridCol w:w="104"/>
        <w:gridCol w:w="440"/>
        <w:gridCol w:w="121"/>
        <w:gridCol w:w="90"/>
        <w:gridCol w:w="224"/>
        <w:gridCol w:w="636"/>
        <w:gridCol w:w="80"/>
        <w:gridCol w:w="60"/>
        <w:gridCol w:w="93"/>
        <w:gridCol w:w="662"/>
        <w:gridCol w:w="93"/>
        <w:gridCol w:w="93"/>
        <w:gridCol w:w="93"/>
        <w:gridCol w:w="662"/>
        <w:gridCol w:w="93"/>
        <w:gridCol w:w="93"/>
        <w:gridCol w:w="224"/>
        <w:gridCol w:w="636"/>
        <w:gridCol w:w="80"/>
        <w:gridCol w:w="60"/>
        <w:gridCol w:w="91"/>
        <w:gridCol w:w="655"/>
        <w:gridCol w:w="91"/>
        <w:gridCol w:w="91"/>
        <w:gridCol w:w="105"/>
        <w:gridCol w:w="447"/>
        <w:gridCol w:w="123"/>
        <w:gridCol w:w="91"/>
        <w:gridCol w:w="224"/>
        <w:gridCol w:w="636"/>
        <w:gridCol w:w="108"/>
      </w:tblGrid>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Quarter Ended March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Quarter Ended December 31, 2025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Quarter Ended March 31, 2026 </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HWC</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HWI</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Elimination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HWC</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HWI</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Elimination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HWC</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5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HWI</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Elimination</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5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12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RMB</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2"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millions)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millions)</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883</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2,019</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1,821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929</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2,974</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2,982</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4,474</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925</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5,217</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1,315</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5,031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972</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10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9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12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w:t>
            </w:r>
          </w:p>
        </w:tc>
        <w:tc>
          <w:tcPr>
            <w:tcW w:w="1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w:t>
            </w:r>
          </w:p>
        </w:tc>
        <w:tc>
          <w:tcPr>
            <w:tcW w:w="1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16"/>
        </w:rPr>
      </w:pPr>
      <w:r>
        <w:rPr>
          <w:rFonts w:ascii="Times New Roman;Times;Serif" w:hAnsi="Times New Roman;Times;Serif"/>
          <w:b w:val="false"/>
          <w:i/>
          <w:caps w:val="false"/>
          <w:smallCaps w:val="false"/>
          <w:sz w:val="16"/>
        </w:rPr>
        <w:t>Beginning in 1Q26, we relabeled our operating segments to "HWC" and "HWI", to replace formerly "Legacy-Huazhu" and "Legacy-DH". In addition, there is a minor realignment between these two segments in 2026; accordingly, comparative figures for the prior periods were updated to conform to the current period’s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14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Operating Results: HWC</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2795"/>
        <w:gridCol w:w="60"/>
        <w:gridCol w:w="144"/>
        <w:gridCol w:w="805"/>
        <w:gridCol w:w="60"/>
        <w:gridCol w:w="60"/>
        <w:gridCol w:w="123"/>
        <w:gridCol w:w="826"/>
        <w:gridCol w:w="80"/>
        <w:gridCol w:w="60"/>
        <w:gridCol w:w="143"/>
        <w:gridCol w:w="806"/>
        <w:gridCol w:w="80"/>
        <w:gridCol w:w="60"/>
        <w:gridCol w:w="124"/>
        <w:gridCol w:w="1230"/>
        <w:gridCol w:w="60"/>
        <w:gridCol w:w="60"/>
        <w:gridCol w:w="99"/>
        <w:gridCol w:w="1405"/>
        <w:gridCol w:w="75"/>
      </w:tblGrid>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0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Opened</w:t>
              <w:br/>
              <w:t>in Q1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Closed </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w:t>
              <w:br/>
              <w:t>in Q1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added </w:t>
              <w:br/>
              <w:t>in Q1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b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1,202,692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1,278,531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tab/>
        <w:t>HWC refers to H World China, covering all hotel operating inside China.</w:t>
      </w:r>
    </w:p>
    <w:p>
      <w:pPr>
        <w:pStyle w:val="TextBody"/>
        <w:bidi w:val="0"/>
        <w:spacing w:before="0" w:after="0"/>
        <w:ind w:left="0" w:right="0" w:hanging="0"/>
        <w:jc w:val="left"/>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3665"/>
        <w:gridCol w:w="60"/>
        <w:gridCol w:w="134"/>
        <w:gridCol w:w="1325"/>
        <w:gridCol w:w="83"/>
        <w:gridCol w:w="83"/>
        <w:gridCol w:w="254"/>
        <w:gridCol w:w="2075"/>
        <w:gridCol w:w="75"/>
      </w:tblGrid>
      <w:tr>
        <w:trPr/>
        <w:tc>
          <w:tcPr>
            <w:tcW w:w="366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5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 hotels in pipeline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Midscale, upper-midscale hotels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6,707</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13,095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15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7449" w:type="dxa"/>
        <w:jc w:val="left"/>
        <w:tblInd w:w="0" w:type="dxa"/>
        <w:tblLayout w:type="fixed"/>
        <w:tblCellMar>
          <w:top w:w="0" w:type="dxa"/>
          <w:left w:w="0" w:type="dxa"/>
          <w:bottom w:w="0" w:type="dxa"/>
          <w:right w:w="0" w:type="dxa"/>
        </w:tblCellMar>
      </w:tblPr>
      <w:tblGrid>
        <w:gridCol w:w="2795"/>
        <w:gridCol w:w="60"/>
        <w:gridCol w:w="121"/>
        <w:gridCol w:w="768"/>
        <w:gridCol w:w="190"/>
        <w:gridCol w:w="61"/>
        <w:gridCol w:w="160"/>
        <w:gridCol w:w="1014"/>
        <w:gridCol w:w="190"/>
        <w:gridCol w:w="61"/>
        <w:gridCol w:w="121"/>
        <w:gridCol w:w="768"/>
        <w:gridCol w:w="185"/>
        <w:gridCol w:w="60"/>
        <w:gridCol w:w="60"/>
        <w:gridCol w:w="635"/>
        <w:gridCol w:w="200"/>
      </w:tblGrid>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5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bottom w:val="single" w:sz="8" w:space="0" w:color="000000"/>
            </w:tcBorders>
            <w:tcMar>
              <w:bottom w:w="28" w:type="dxa"/>
            </w:tcMar>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daily room rate (in RMB)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eastAsia="Times New Roman;Times;Serif"/>
                <w:b w:val="false"/>
                <w:i/>
                <w:caps w:val="false"/>
                <w:smallCaps w:val="false"/>
                <w:sz w:val="20"/>
              </w:rPr>
            </w:pPr>
            <w:r>
              <w:rPr>
                <w:rFonts w:eastAsia="Times New Roman;Times;Serif"/>
                <w:b w:val="false"/>
                <w:i/>
                <w:caps w:val="false"/>
                <w:smallCaps w:val="false"/>
                <w:sz w:val="20"/>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eastAsia="Times New Roman;Times;Serif"/>
                <w:b w:val="false"/>
                <w:i/>
                <w:caps w:val="false"/>
                <w:smallCaps w:val="false"/>
                <w:sz w:val="20"/>
              </w:rPr>
            </w:pPr>
            <w:r>
              <w:rPr>
                <w:rFonts w:eastAsia="Times New Roman;Times;Serif"/>
                <w:b w:val="false"/>
                <w:i/>
                <w:caps w:val="false"/>
                <w:smallCaps w:val="false"/>
                <w:sz w:val="20"/>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eastAsia="Times New Roman;Times;Serif"/>
                <w:b w:val="false"/>
                <w:i/>
                <w:caps w:val="false"/>
                <w:smallCaps w:val="false"/>
                <w:sz w:val="20"/>
              </w:rPr>
            </w:pPr>
            <w:r>
              <w:rPr>
                <w:rFonts w:eastAsia="Times New Roman;Times;Serif"/>
                <w:b w:val="false"/>
                <w:i/>
                <w:caps w:val="false"/>
                <w:smallCaps w:val="false"/>
                <w:sz w:val="20"/>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Occupancy rate (as a percentage)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-1.0p.p.</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RevPAR (in RMB)</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16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Same-hotel operational data by class</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Mature hotels in operation for more than 18 months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61"/>
        <w:gridCol w:w="60"/>
        <w:gridCol w:w="66"/>
        <w:gridCol w:w="474"/>
        <w:gridCol w:w="66"/>
        <w:gridCol w:w="66"/>
        <w:gridCol w:w="66"/>
        <w:gridCol w:w="474"/>
        <w:gridCol w:w="60"/>
        <w:gridCol w:w="60"/>
        <w:gridCol w:w="84"/>
        <w:gridCol w:w="397"/>
        <w:gridCol w:w="81"/>
        <w:gridCol w:w="81"/>
        <w:gridCol w:w="84"/>
        <w:gridCol w:w="397"/>
        <w:gridCol w:w="64"/>
        <w:gridCol w:w="64"/>
        <w:gridCol w:w="87"/>
        <w:gridCol w:w="443"/>
        <w:gridCol w:w="155"/>
        <w:gridCol w:w="60"/>
        <w:gridCol w:w="84"/>
        <w:gridCol w:w="396"/>
        <w:gridCol w:w="81"/>
        <w:gridCol w:w="81"/>
        <w:gridCol w:w="84"/>
        <w:gridCol w:w="396"/>
        <w:gridCol w:w="60"/>
        <w:gridCol w:w="60"/>
        <w:gridCol w:w="104"/>
        <w:gridCol w:w="426"/>
        <w:gridCol w:w="155"/>
        <w:gridCol w:w="60"/>
        <w:gridCol w:w="67"/>
        <w:gridCol w:w="380"/>
        <w:gridCol w:w="175"/>
        <w:gridCol w:w="67"/>
        <w:gridCol w:w="67"/>
        <w:gridCol w:w="380"/>
        <w:gridCol w:w="157"/>
        <w:gridCol w:w="60"/>
        <w:gridCol w:w="87"/>
        <w:gridCol w:w="443"/>
        <w:gridCol w:w="85"/>
      </w:tblGrid>
      <w:tr>
        <w:trPr/>
        <w:tc>
          <w:tcPr>
            <w:tcW w:w="28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Number of hotels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RevPAR</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ADR</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8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Same-hotel Occupancy</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 of</w:t>
              <w:br/>
              <w:t>March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quarter</w:t>
              <w:br/>
              <w:t>ended</w:t>
              <w:br/>
              <w:t>March 31,</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br/>
              <w:t>change</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quarter</w:t>
              <w:br/>
              <w:t>ended</w:t>
              <w:br/>
              <w:t>March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yoy</w:t>
              <w:br/>
              <w:t>change</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For the quarter</w:t>
              <w:br/>
              <w:t>ended</w:t>
              <w:br/>
              <w:t>March 31,</w:t>
            </w:r>
          </w:p>
        </w:tc>
        <w:tc>
          <w:tcPr>
            <w:tcW w:w="15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yoy</w:t>
              <w:br/>
              <w:t>change</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66" w:type="dxa"/>
            <w:tcBorders/>
            <w:vAlign w:val="center"/>
          </w:tcPr>
          <w:p>
            <w:pPr>
              <w:pStyle w:val="TableContents"/>
              <w:bidi w:val="0"/>
              <w:spacing w:before="0" w:after="283"/>
              <w:jc w:val="center"/>
              <w:rPr>
                <w:caps w:val="false"/>
                <w:smallCaps w:val="false"/>
              </w:rPr>
            </w:pPr>
            <w:r>
              <w:rPr>
                <w:caps w:val="false"/>
                <w:smallCaps w:val="false"/>
              </w:rPr>
              <w:t> </w:t>
            </w:r>
          </w:p>
        </w:tc>
        <w:tc>
          <w:tcPr>
            <w:tcW w:w="5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4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175" w:type="dxa"/>
            <w:tcBorders/>
            <w:vAlign w:val="center"/>
          </w:tcPr>
          <w:p>
            <w:pPr>
              <w:pStyle w:val="TableContents"/>
              <w:bidi w:val="0"/>
              <w:spacing w:before="0" w:after="283"/>
              <w:jc w:val="center"/>
              <w:rPr>
                <w:caps w:val="false"/>
                <w:smallCaps w:val="false"/>
              </w:rPr>
            </w:pPr>
            <w:r>
              <w:rPr>
                <w:caps w:val="false"/>
                <w:smallCaps w:val="false"/>
              </w:rPr>
              <w:t> </w:t>
            </w:r>
          </w:p>
        </w:tc>
        <w:tc>
          <w:tcPr>
            <w:tcW w:w="67" w:type="dxa"/>
            <w:tcBorders/>
            <w:vAlign w:val="center"/>
          </w:tcPr>
          <w:p>
            <w:pPr>
              <w:pStyle w:val="TableContents"/>
              <w:bidi w:val="0"/>
              <w:spacing w:before="0" w:after="283"/>
              <w:jc w:val="center"/>
              <w:rPr>
                <w:caps w:val="false"/>
                <w:smallCaps w:val="false"/>
              </w:rPr>
            </w:pPr>
            <w:r>
              <w:rPr>
                <w:caps w:val="false"/>
                <w:smallCaps w:val="false"/>
              </w:rPr>
              <w:t> </w:t>
            </w:r>
          </w:p>
        </w:tc>
        <w:tc>
          <w:tcPr>
            <w:tcW w:w="4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15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(p.p.)</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4,424</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79.3</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75.8</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Leased and owned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82.5</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4,192</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79.1</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75.5</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Midscale, upper-midscale hotels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4,682</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76.7</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Leased and owned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419</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78.8</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76.6</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4,429</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76.5</w:t>
            </w:r>
          </w:p>
        </w:tc>
        <w:tc>
          <w:tcPr>
            <w:tcW w:w="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74.2</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6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9,106</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77.8</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75.0</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17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u w:val="single"/>
        </w:rPr>
        <w:t>Operating Results: HWI</w:t>
      </w:r>
      <w:r>
        <w:rPr>
          <w:rFonts w:ascii="Times New Roman;Times;Serif" w:hAnsi="Times New Roman;Times;Serif"/>
          <w:b/>
          <w:i/>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tbl>
      <w:tblPr>
        <w:tblW w:w="8846" w:type="dxa"/>
        <w:jc w:val="left"/>
        <w:tblInd w:w="0" w:type="dxa"/>
        <w:tblLayout w:type="fixed"/>
        <w:tblCellMar>
          <w:top w:w="0" w:type="dxa"/>
          <w:left w:w="0" w:type="dxa"/>
          <w:bottom w:w="0" w:type="dxa"/>
          <w:right w:w="0" w:type="dxa"/>
        </w:tblCellMar>
      </w:tblPr>
      <w:tblGrid>
        <w:gridCol w:w="2795"/>
        <w:gridCol w:w="60"/>
        <w:gridCol w:w="307"/>
        <w:gridCol w:w="642"/>
        <w:gridCol w:w="60"/>
        <w:gridCol w:w="60"/>
        <w:gridCol w:w="144"/>
        <w:gridCol w:w="446"/>
        <w:gridCol w:w="80"/>
        <w:gridCol w:w="60"/>
        <w:gridCol w:w="139"/>
        <w:gridCol w:w="435"/>
        <w:gridCol w:w="80"/>
        <w:gridCol w:w="60"/>
        <w:gridCol w:w="135"/>
        <w:gridCol w:w="755"/>
        <w:gridCol w:w="60"/>
        <w:gridCol w:w="60"/>
        <w:gridCol w:w="84"/>
        <w:gridCol w:w="835"/>
        <w:gridCol w:w="60"/>
        <w:gridCol w:w="60"/>
        <w:gridCol w:w="278"/>
        <w:gridCol w:w="1076"/>
        <w:gridCol w:w="75"/>
      </w:tblGrid>
      <w:tr>
        <w:trPr/>
        <w:tc>
          <w:tcPr>
            <w:tcW w:w="2795"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0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rooms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w:t>
              <w:br/>
              <w:t>hotels in</w:t>
              <w:br/>
              <w:t>pipeline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center"/>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Opened</w:t>
              <w:br/>
              <w:t>in Q1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Closed</w:t>
              <w:br/>
              <w:t>in Q1</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Net </w:t>
              <w:br/>
              <w:t xml:space="preserve">added </w:t>
              <w:br/>
              <w:t xml:space="preserve">in Q1 </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br/>
              <w:t>March 31,</w:t>
              <w:br/>
              <w:t xml:space="preserve">2026 </w:t>
            </w:r>
            <w:r>
              <w:rPr>
                <w:b/>
                <w:position w:val="7"/>
                <w:sz w:val="16"/>
                <w:sz w:val="20"/>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br/>
              <w:t>March 31,</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br/>
              <w:t>March 31, 2026</w:t>
            </w:r>
          </w:p>
        </w:tc>
        <w:tc>
          <w:tcPr>
            <w:tcW w:w="75" w:type="dxa"/>
            <w:tcBorders/>
            <w:vAlign w:val="center"/>
          </w:tcPr>
          <w:p>
            <w:pPr>
              <w:pStyle w:val="TableContents"/>
              <w:bidi w:val="0"/>
              <w:spacing w:before="0" w:after="283"/>
              <w:jc w:val="center"/>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HWI refers to H World International, which includes all hotels operating outside China.</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(3)       As of March 31, 2026, a total of 2 hotels were temporarily closed due to repair and renovation.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18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19" w:type="dxa"/>
        <w:jc w:val="left"/>
        <w:tblInd w:w="0" w:type="dxa"/>
        <w:tblLayout w:type="fixed"/>
        <w:tblCellMar>
          <w:top w:w="0" w:type="dxa"/>
          <w:left w:w="0" w:type="dxa"/>
          <w:bottom w:w="0" w:type="dxa"/>
          <w:right w:w="0" w:type="dxa"/>
        </w:tblCellMar>
      </w:tblPr>
      <w:tblGrid>
        <w:gridCol w:w="2975"/>
        <w:gridCol w:w="60"/>
        <w:gridCol w:w="121"/>
        <w:gridCol w:w="768"/>
        <w:gridCol w:w="190"/>
        <w:gridCol w:w="61"/>
        <w:gridCol w:w="160"/>
        <w:gridCol w:w="1014"/>
        <w:gridCol w:w="190"/>
        <w:gridCol w:w="61"/>
        <w:gridCol w:w="121"/>
        <w:gridCol w:w="768"/>
        <w:gridCol w:w="185"/>
        <w:gridCol w:w="60"/>
        <w:gridCol w:w="60"/>
        <w:gridCol w:w="725"/>
        <w:gridCol w:w="20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54" w:type="dxa"/>
            <w:gridSpan w:val="1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 constant $)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daily room rate (in USD)</w:t>
            </w:r>
            <w:r>
              <w:rPr>
                <w:rFonts w:ascii="Times New Roman;Times;Serif" w:hAnsi="Times New Roman;Times;Serif"/>
                <w:b/>
                <w:i/>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Occupancy rate (as a percentage)</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p.p.</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p.p.</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RevPAR (in USD)</w:t>
            </w:r>
            <w:r>
              <w:rPr>
                <w:rFonts w:ascii="Times New Roman;Times;Serif" w:hAnsi="Times New Roman;Times;Serif"/>
                <w:b/>
                <w:i/>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19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and franchised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Blended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9949"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Period comparisons of hotel operating statistics are presented on a constant U.S. dollar basis, which is calculated by applying current-period quarterly average exchange rates to the prior comparable period.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19 of 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drawing>
          <wp:inline distT="0" distB="0" distL="0" distR="0">
            <wp:extent cx="548640" cy="23749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48640" cy="237490"/>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Hotel Portfolio by Brand</w:t>
      </w:r>
    </w:p>
    <w:p>
      <w:pPr>
        <w:pStyle w:val="TextBody"/>
        <w:bidi w:val="0"/>
        <w:spacing w:before="0" w:after="0"/>
        <w:ind w:left="0" w:right="0" w:hanging="0"/>
        <w:jc w:val="left"/>
        <w:rPr>
          <w:caps w:val="false"/>
          <w:smallCaps w:val="false"/>
        </w:rPr>
      </w:pPr>
      <w:r>
        <w:rPr>
          <w:caps w:val="false"/>
          <w:smallCaps w:val="false"/>
        </w:rPr>
        <w:t> </w:t>
      </w:r>
    </w:p>
    <w:tbl>
      <w:tblPr>
        <w:tblW w:w="6109" w:type="dxa"/>
        <w:jc w:val="left"/>
        <w:tblInd w:w="0" w:type="dxa"/>
        <w:tblLayout w:type="fixed"/>
        <w:tblCellMar>
          <w:top w:w="0" w:type="dxa"/>
          <w:left w:w="0" w:type="dxa"/>
          <w:bottom w:w="0" w:type="dxa"/>
          <w:right w:w="0" w:type="dxa"/>
        </w:tblCellMar>
      </w:tblPr>
      <w:tblGrid>
        <w:gridCol w:w="2780"/>
        <w:gridCol w:w="60"/>
        <w:gridCol w:w="60"/>
        <w:gridCol w:w="590"/>
        <w:gridCol w:w="60"/>
        <w:gridCol w:w="60"/>
        <w:gridCol w:w="60"/>
        <w:gridCol w:w="845"/>
        <w:gridCol w:w="60"/>
        <w:gridCol w:w="60"/>
        <w:gridCol w:w="153"/>
        <w:gridCol w:w="1246"/>
        <w:gridCol w:w="75"/>
      </w:tblGrid>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9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Unopened hotels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operation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pipeline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HanTing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NiHao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 Inn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Elan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Ibis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Zleep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Midscale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605,638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Orange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Starway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Ibis Styles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Upper midscale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Crystal Orange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IntercityHotel</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JI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CitiGO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Manxin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Madison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Novotel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MAXX Hotel</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Upscale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Blossom House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Joya Hotel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Mercure Hotel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Steigenberger Hotels &amp; Resorts</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Jaz in the City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Luxury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Steigenberger Icons</w:t>
            </w:r>
            <w:r>
              <w:rPr>
                <w:rFonts w:ascii="Times New Roman;Times;Serif" w:hAnsi="Times New Roman;Times;Serif"/>
                <w:b w:val="false"/>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Song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hotels</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1,303,563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i/>
              </w:rPr>
            </w:pPr>
            <w:r>
              <w:rPr>
                <w:i/>
              </w:rPr>
              <w:t>(5)</w:t>
            </w:r>
          </w:p>
        </w:tc>
        <w:tc>
          <w:tcPr>
            <w:tcW w:w="9878" w:type="dxa"/>
            <w:tcBorders/>
            <w:vAlign w:val="center"/>
          </w:tcPr>
          <w:p>
            <w:pPr>
              <w:pStyle w:val="TableContents"/>
              <w:bidi w:val="0"/>
              <w:spacing w:before="0" w:after="283"/>
              <w:jc w:val="both"/>
              <w:rPr>
                <w:i/>
              </w:rPr>
            </w:pPr>
            <w:r>
              <w:rPr>
                <w:i/>
              </w:rPr>
              <w:t>As of March 31, 2026, 123 operational hotels and 98 pipeline hotels of IntercityHotel were under HWC.</w:t>
            </w:r>
          </w:p>
        </w:tc>
      </w:tr>
    </w:tbl>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9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(6)</w:t>
            </w:r>
          </w:p>
        </w:tc>
        <w:tc>
          <w:tcPr>
            <w:tcW w:w="8885" w:type="dxa"/>
            <w:tcBorders/>
            <w:vAlign w:val="center"/>
          </w:tcPr>
          <w:p>
            <w:pPr>
              <w:pStyle w:val="TableContents"/>
              <w:bidi w:val="0"/>
              <w:spacing w:before="0" w:after="283"/>
              <w:jc w:val="both"/>
              <w:rPr>
                <w:i/>
              </w:rPr>
            </w:pPr>
            <w:r>
              <w:rPr>
                <w:i/>
              </w:rPr>
              <w:t>As of March 31, 2026, 5 operational hotels and 4 pipeline hotels of MAXX were under HWC.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i/>
              </w:rPr>
            </w:pPr>
            <w:r>
              <w:rPr>
                <w:i/>
              </w:rPr>
              <w:t>(7)</w:t>
            </w:r>
          </w:p>
        </w:tc>
        <w:tc>
          <w:tcPr>
            <w:tcW w:w="9890" w:type="dxa"/>
            <w:tcBorders/>
            <w:vAlign w:val="center"/>
          </w:tcPr>
          <w:p>
            <w:pPr>
              <w:pStyle w:val="TableContents"/>
              <w:bidi w:val="0"/>
              <w:spacing w:before="0" w:after="283"/>
              <w:jc w:val="both"/>
              <w:rPr>
                <w:i/>
              </w:rPr>
            </w:pPr>
            <w:r>
              <w:rPr>
                <w:i/>
              </w:rPr>
              <w:t>As of March 31, 2026, 13 operational hotels and 10 pipeline hotels of Steigenberger Hotels &amp; Resorts were under HWC.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i/>
              </w:rPr>
            </w:pPr>
            <w:r>
              <w:rPr>
                <w:i/>
              </w:rPr>
              <w:t>(8)</w:t>
            </w:r>
          </w:p>
        </w:tc>
        <w:tc>
          <w:tcPr>
            <w:tcW w:w="9878" w:type="dxa"/>
            <w:tcBorders/>
            <w:vAlign w:val="center"/>
          </w:tcPr>
          <w:p>
            <w:pPr>
              <w:pStyle w:val="TableContents"/>
              <w:bidi w:val="0"/>
              <w:spacing w:before="0" w:after="283"/>
              <w:jc w:val="both"/>
              <w:rPr>
                <w:i/>
              </w:rPr>
            </w:pPr>
            <w:r>
              <w:rPr>
                <w:i/>
              </w:rPr>
              <w:t>As of March 31, 2026, 5 operational hotels and 1 pipeline hotel of Steigenberger Icon were under HWC.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i/>
              </w:rPr>
            </w:pPr>
            <w:r>
              <w:rPr>
                <w:i/>
              </w:rPr>
              <w:t>(9)</w:t>
            </w:r>
          </w:p>
        </w:tc>
        <w:tc>
          <w:tcPr>
            <w:tcW w:w="9910" w:type="dxa"/>
            <w:tcBorders/>
            <w:vAlign w:val="center"/>
          </w:tcPr>
          <w:p>
            <w:pPr>
              <w:pStyle w:val="TableContents"/>
              <w:bidi w:val="0"/>
              <w:spacing w:before="0" w:after="283"/>
              <w:jc w:val="both"/>
              <w:rPr>
                <w:i/>
              </w:rPr>
            </w:pPr>
            <w:r>
              <w:rPr>
                <w:i/>
              </w:rPr>
              <w:t>Other hotels include other partner hotels and other hotel brands in Yongle Huazhu Hotel &amp; Resort Group (excluding Steigenberger Hotels &amp; Resorts and Blossom House).</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Page 20 of 20</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6894</Words>
  <Characters>35562</Characters>
  <CharactersWithSpaces>44527</CharactersWithSpaces>
  <Paragraphs>5370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