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6043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04329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9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JI QI</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NO. 1299 FENGHUA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 World Group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HTHT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05/31/2026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17" w:space="720"/>
            <w:col w:w="3343"/>
          </w:cols>
          <w:pgMar w:left="460" w:top="214" w:right="359" w:bottom="999" w:gutter="0" w:footer="0" w:header="0"/>
          <w:type w:val="continuous"/>
        </w:sectPr>
      </w:pPr>
    </w:p>
    <w:p>
      <w:pPr>
        <w:spacing w:after="0" w:line="225"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SHANGHAI</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F4</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201803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60" w:space="140"/>
            <w:col w:w="7180"/>
          </w:cols>
          <w:pgMar w:left="460" w:top="214" w:right="359" w:bottom="99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0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0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5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82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0000FF"/>
              </w:rPr>
              <w:t>05/31/2026</w:t>
            </w:r>
          </w:p>
        </w:tc>
        <w:tc>
          <w:tcPr>
            <w:tcW w:w="106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0000FF"/>
              </w:rPr>
              <w:t>1,005,670</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16,535,620</w:t>
            </w:r>
          </w:p>
        </w:tc>
        <w:tc>
          <w:tcPr>
            <w:tcW w:w="9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Winner</w:t>
            </w:r>
          </w:p>
        </w:tc>
        <w:tc>
          <w:tcPr>
            <w:tcW w:w="0" w:type="dxa"/>
            <w:vAlign w:val="bottom"/>
          </w:tcPr>
          <w:p>
            <w:pPr>
              <w:spacing w:after="0"/>
              <w:rPr>
                <w:sz w:val="1"/>
                <w:szCs w:val="1"/>
                <w:color w:val="auto"/>
              </w:rPr>
            </w:pPr>
          </w:p>
        </w:tc>
      </w:tr>
      <w:tr>
        <w:trPr>
          <w:trHeight w:val="200"/>
        </w:trPr>
        <w:tc>
          <w:tcPr>
            <w:tcW w:w="25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701,477,540</w:t>
            </w:r>
          </w:p>
        </w:tc>
        <w:tc>
          <w:tcPr>
            <w:tcW w:w="940" w:type="dxa"/>
            <w:vAlign w:val="bottom"/>
          </w:tcPr>
          <w:p>
            <w:pPr>
              <w:ind w:left="420"/>
              <w:spacing w:after="0" w:line="200"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(2)</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Crown</w:t>
            </w: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Limited</w:t>
            </w:r>
          </w:p>
        </w:tc>
        <w:tc>
          <w:tcPr>
            <w:tcW w:w="0" w:type="dxa"/>
            <w:vAlign w:val="bottom"/>
          </w:tcPr>
          <w:p>
            <w:pPr>
              <w:spacing w:after="0"/>
              <w:rPr>
                <w:sz w:val="1"/>
                <w:szCs w:val="1"/>
                <w:color w:val="auto"/>
              </w:rPr>
            </w:pPr>
          </w:p>
        </w:tc>
      </w:tr>
    </w:tbl>
    <w:p>
      <w:pPr>
        <w:spacing w:after="0" w:line="114" w:lineRule="exact"/>
        <w:rPr>
          <w:sz w:val="24"/>
          <w:szCs w:val="24"/>
          <w:color w:val="auto"/>
        </w:rPr>
      </w:pPr>
    </w:p>
    <w:p>
      <w:pPr>
        <w:sectPr>
          <w:pgSz w:w="11900" w:h="16838" w:orient="portrait"/>
          <w:cols w:equalWidth="0" w:num="1">
            <w:col w:w="11080"/>
          </w:cols>
          <w:pgMar w:left="460" w:top="214" w:right="359" w:bottom="999"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color w:val="0000FF"/>
        </w:rPr>
        <w:t>Ordinary Shares (represented by American</w:t>
      </w:r>
    </w:p>
    <w:p>
      <w:pPr>
        <w:spacing w:after="0" w:line="2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depositary shares)</w:t>
      </w:r>
    </w:p>
    <w:p>
      <w:pPr>
        <w:spacing w:after="0" w:line="200" w:lineRule="exact"/>
        <w:rPr>
          <w:sz w:val="24"/>
          <w:szCs w:val="24"/>
          <w:color w:val="auto"/>
        </w:rPr>
      </w:pPr>
    </w:p>
    <w:p>
      <w:pPr>
        <w:spacing w:after="0" w:line="2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Ordinary Shares (represented by American</w:t>
      </w:r>
    </w:p>
    <w:p>
      <w:pPr>
        <w:spacing w:after="0" w:line="2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depositary shares)</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color w:val="0000FF"/>
        </w:rPr>
        <w:t>375,000</w:t>
      </w:r>
      <w:r>
        <w:rPr>
          <w:sz w:val="20"/>
          <w:szCs w:val="20"/>
          <w:color w:val="auto"/>
        </w:rPr>
        <w:tab/>
      </w:r>
      <w:r>
        <w:rPr>
          <w:rFonts w:ascii="Times New Roman" w:cs="Times New Roman" w:eastAsia="Times New Roman" w:hAnsi="Times New Roman"/>
          <w:sz w:val="16"/>
          <w:szCs w:val="16"/>
          <w:color w:val="0000FF"/>
        </w:rPr>
        <w:t>D</w:t>
      </w:r>
    </w:p>
    <w:p>
      <w:pPr>
        <w:spacing w:after="0" w:line="24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color w:val="0000FF"/>
        </w:rPr>
        <w:t>By</w:t>
      </w:r>
    </w:p>
    <w:p>
      <w:pPr>
        <w:spacing w:after="0" w:line="27"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color w:val="0000FF"/>
        </w:rPr>
        <w:t>Winner</w:t>
      </w:r>
    </w:p>
    <w:p>
      <w:pPr>
        <w:spacing w:after="0"/>
        <w:tabs>
          <w:tab w:leader="none" w:pos="1200" w:val="left"/>
          <w:tab w:leader="none" w:pos="1820" w:val="left"/>
        </w:tabs>
        <w:rPr>
          <w:sz w:val="20"/>
          <w:szCs w:val="20"/>
          <w:color w:val="auto"/>
        </w:rPr>
      </w:pPr>
      <w:r>
        <w:rPr>
          <w:rFonts w:ascii="Times New Roman" w:cs="Times New Roman" w:eastAsia="Times New Roman" w:hAnsi="Times New Roman"/>
          <w:sz w:val="16"/>
          <w:szCs w:val="16"/>
          <w:color w:val="0000FF"/>
        </w:rPr>
        <w:t>431,270</w:t>
      </w:r>
      <w:r>
        <w:rPr>
          <w:sz w:val="20"/>
          <w:szCs w:val="20"/>
          <w:color w:val="auto"/>
        </w:rPr>
        <w:tab/>
      </w:r>
      <w:r>
        <w:rPr>
          <w:rFonts w:ascii="Times New Roman" w:cs="Times New Roman" w:eastAsia="Times New Roman" w:hAnsi="Times New Roman"/>
          <w:sz w:val="16"/>
          <w:szCs w:val="16"/>
          <w:color w:val="0000FF"/>
        </w:rPr>
        <w:t>I</w:t>
      </w:r>
      <w:r>
        <w:rPr>
          <w:rFonts w:ascii="Times New Roman" w:cs="Times New Roman" w:eastAsia="Times New Roman" w:hAnsi="Times New Roman"/>
          <w:sz w:val="20"/>
          <w:szCs w:val="20"/>
          <w:color w:val="008000"/>
          <w:vertAlign w:val="superscript"/>
        </w:rPr>
        <w:t>(2)</w:t>
      </w:r>
      <w:r>
        <w:rPr>
          <w:sz w:val="20"/>
          <w:szCs w:val="20"/>
          <w:color w:val="auto"/>
        </w:rPr>
        <w:tab/>
      </w:r>
      <w:r>
        <w:rPr>
          <w:rFonts w:ascii="Times New Roman" w:cs="Times New Roman" w:eastAsia="Times New Roman" w:hAnsi="Times New Roman"/>
          <w:sz w:val="16"/>
          <w:szCs w:val="16"/>
          <w:color w:val="0000FF"/>
        </w:rPr>
        <w:t>Crown</w:t>
      </w:r>
    </w:p>
    <w:p>
      <w:pPr>
        <w:spacing w:after="0" w:line="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color w:val="0000FF"/>
        </w:rPr>
        <w:t>Holdings</w:t>
      </w:r>
    </w:p>
    <w:p>
      <w:pPr>
        <w:spacing w:after="0" w:line="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color w:val="0000FF"/>
        </w:rPr>
        <w:t>Limited</w:t>
      </w:r>
    </w:p>
    <w:p>
      <w:pPr>
        <w:spacing w:after="0" w:line="156" w:lineRule="exact"/>
        <w:rPr>
          <w:sz w:val="24"/>
          <w:szCs w:val="24"/>
          <w:color w:val="auto"/>
        </w:rPr>
      </w:pPr>
    </w:p>
    <w:p>
      <w:pPr>
        <w:sectPr>
          <w:pgSz w:w="11900" w:h="16838" w:orient="portrait"/>
          <w:cols w:equalWidth="0" w:num="2">
            <w:col w:w="7700" w:space="720"/>
            <w:col w:w="2660"/>
          </w:cols>
          <w:pgMar w:left="460" w:top="214" w:right="359" w:bottom="999"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1,005,670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0"/>
                <w:szCs w:val="10"/>
                <w:color w:val="auto"/>
              </w:rPr>
            </w:pPr>
          </w:p>
        </w:tc>
        <w:tc>
          <w:tcPr>
            <w:tcW w:w="1040" w:type="dxa"/>
            <w:vAlign w:val="bottom"/>
          </w:tcPr>
          <w:p>
            <w:pPr>
              <w:jc w:val="right"/>
              <w:ind w:right="162"/>
              <w:spacing w:after="0" w:line="126" w:lineRule="exact"/>
              <w:rPr>
                <w:sz w:val="20"/>
                <w:szCs w:val="20"/>
                <w:color w:val="auto"/>
              </w:rPr>
            </w:pPr>
            <w:r>
              <w:rPr>
                <w:rFonts w:ascii="Times New Roman" w:cs="Times New Roman" w:eastAsia="Times New Roman" w:hAnsi="Times New Roman"/>
                <w:sz w:val="13"/>
                <w:szCs w:val="13"/>
                <w:color w:val="0000FF"/>
              </w:rPr>
              <w:t>05/31/2026</w:t>
            </w:r>
          </w:p>
        </w:tc>
        <w:tc>
          <w:tcPr>
            <w:tcW w:w="1060" w:type="dxa"/>
            <w:vAlign w:val="bottom"/>
          </w:tcPr>
          <w:p>
            <w:pPr>
              <w:spacing w:after="0"/>
              <w:rPr>
                <w:sz w:val="10"/>
                <w:szCs w:val="10"/>
                <w:color w:val="auto"/>
              </w:rPr>
            </w:pPr>
          </w:p>
        </w:tc>
        <w:tc>
          <w:tcPr>
            <w:tcW w:w="78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0000FF"/>
              </w:rPr>
              <w:t>1,005,670</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34,997,730</w:t>
            </w:r>
          </w:p>
        </w:tc>
        <w:tc>
          <w:tcPr>
            <w:tcW w:w="72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120"/>
              <w:spacing w:after="0" w:line="138" w:lineRule="exact"/>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share units that vested and settled into ordinary shares.</w:t>
      </w:r>
    </w:p>
    <w:p>
      <w:pPr>
        <w:spacing w:after="0" w:line="38" w:lineRule="exact"/>
        <w:rPr>
          <w:rFonts w:ascii="Times New Roman" w:cs="Times New Roman" w:eastAsia="Times New Roman" w:hAnsi="Times New Roman"/>
          <w:sz w:val="13"/>
          <w:szCs w:val="13"/>
          <w:color w:val="008000"/>
        </w:rPr>
      </w:pPr>
    </w:p>
    <w:p>
      <w:pPr>
        <w:ind w:left="40" w:right="22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 ordinary shares represented by American depositary shares are held by Winner Crown Holdings Limited ("Winner Crown"), a British Virgin Islands company wholly owned by Sherman Holdings Limited ("Sherman"), a Bahamas company. Sherman is owned 100% by vote and value by the Ji Family Trust, which is a revocable trust valid under the laws of the Republic of Singapore. Butterfield Trust (Asia) Limited acts as trustee of the Ji Family Trust, of which Mr. Qi Ji and his family members are the beneficiaries. Qi Ji, as the settlor of the trust, reserves the right to revoke the trust without the consent of another person and exercises investment control over the Issuer's securities held by the trust, and may be deemed to beneficially own the shares directly owned by Winner Crown.</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the right to receive one ordinary share.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 units were granted on May 31, 2023 and vested on May 31, 2026. These Restricted share units were previously reported on the Form 3 filed by the Reporting Person on March 16, 2026.</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Fan You, Attorney-in-Fact for </w:t>
      </w:r>
      <w:r>
        <w:rPr>
          <w:rFonts w:ascii="Times New Roman" w:cs="Times New Roman" w:eastAsia="Times New Roman" w:hAnsi="Times New Roman"/>
          <w:sz w:val="32"/>
          <w:szCs w:val="32"/>
          <w:color w:val="0000FF"/>
          <w:vertAlign w:val="subscript"/>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64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Qi Ji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98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812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9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28855" TargetMode="External"/><Relationship Id="rId14" Type="http://schemas.openxmlformats.org/officeDocument/2006/relationships/hyperlink" Target="http://www.sec.gov/cgi-bin/browse-edgar?action=getcompany&amp;CIK=0001483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2026-06-01T08:01:16Z</dcterms:created>
  <dcterms:modified xsi:type="dcterms:W3CDTF">2026-06-01T08:01:16Z</dcterms:modified>
</cp:coreProperties>
</file>