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383d1_6k.htm"/>
      <w:bookmarkStart w:id="1" w:name="kstm2623383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 xml:space="preserve">(86) 21 6195-2011 </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(excluding the bullet point regarding the expected revenue growth range for the full year of 2026 compared to the full year of 2025 on page 2, and the paragraphs under the headings “Guidance” and “Conference Call”) of this current report on Form 6-K (the “Report”) shall be incorporated by reference into the Company’s registration statements on Form F-3, which became effective on July 17, 2024 (Registration No. 333-280844), and shall be a part thereof from the date on which this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055"/>
        <w:gridCol w:w="60"/>
        <w:gridCol w:w="6965"/>
      </w:tblGrid>
      <w:tr>
        <w:trPr/>
        <w:tc>
          <w:tcPr>
            <w:tcW w:w="105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23383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283"/>
              <w:jc w:val="left"/>
              <w:rPr/>
            </w:pPr>
            <w:hyperlink w:anchor="tm2623383d1_ex99-1.htm">
              <w:r>
                <w:rPr>
                  <w:rStyle w:val="InternetLink"/>
                  <w:rFonts w:ascii="Times New Roman;Times;Serif" w:hAnsi="Times New Roman;Times;Serif"/>
                  <w:sz w:val="20"/>
                </w:rPr>
                <w:t>H World Group Limited Reports Second Quarter of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1865"/>
        <w:gridCol w:w="545"/>
        <w:gridCol w:w="3740"/>
      </w:tblGrid>
      <w:tr>
        <w:trPr/>
        <w:tc>
          <w:tcPr>
            <w:tcW w:w="186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 World Group Limited</w:t>
            </w:r>
          </w:p>
        </w:tc>
      </w:tr>
      <w:tr>
        <w:trPr/>
        <w:tc>
          <w:tcPr>
            <w:tcW w:w="186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 Ji</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 Ji</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tm2623383d1_ex99-1.htm"/>
      <w:bookmarkStart w:id="3" w:name="kstm2623383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810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4286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6195 9561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ir@hworld.com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https://ir.hworld.com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 Reports Second Quarter and Interim of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 total of 13,539 hotels or 1,335,445 hotel rooms in operation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Hotel turnover</w:t>
            </w:r>
            <w:r>
              <w:rPr>
                <w:rFonts w:ascii="Times New Roman;Times;Serif" w:hAnsi="Times New Roman;Times;Serif"/>
                <w:i/>
                <w:position w:val="8"/>
                <w:sz w:val="19"/>
              </w:rPr>
              <w:t>1</w:t>
            </w:r>
            <w:r>
              <w:rPr>
                <w:rFonts w:ascii="Times New Roman;Times;Serif" w:hAnsi="Times New Roman;Times;Serif"/>
                <w:i/>
              </w:rPr>
              <w:t xml:space="preserve"> increased 13.2% year-over-year to RMB30.5 billion in the second quarter of 2026. By segments, hotel turnover from the H World China (“</w:t>
            </w:r>
            <w:r>
              <w:rPr>
                <w:rFonts w:ascii="Times New Roman;Times;Serif" w:hAnsi="Times New Roman;Times;Serif"/>
                <w:b/>
                <w:i/>
              </w:rPr>
              <w:t>HWC</w:t>
            </w:r>
            <w:r>
              <w:rPr>
                <w:rFonts w:ascii="Times New Roman;Times;Serif" w:hAnsi="Times New Roman;Times;Serif"/>
                <w:i/>
              </w:rPr>
              <w:t>”)</w:t>
            </w:r>
            <w:r>
              <w:rPr>
                <w:rFonts w:ascii="Times New Roman;Times;Serif" w:hAnsi="Times New Roman;Times;Serif"/>
                <w:i/>
                <w:position w:val="8"/>
                <w:sz w:val="19"/>
              </w:rPr>
              <w:t>2</w:t>
            </w:r>
            <w:r>
              <w:rPr>
                <w:rFonts w:ascii="Times New Roman;Times;Serif" w:hAnsi="Times New Roman;Times;Serif"/>
                <w:i/>
              </w:rPr>
              <w:t xml:space="preserve"> segment increased 15.3% year-over-year in the second quarter of 2026, and hotel turnover from the H World International (“</w:t>
            </w:r>
            <w:r>
              <w:rPr>
                <w:rFonts w:ascii="Times New Roman;Times;Serif" w:hAnsi="Times New Roman;Times;Serif"/>
                <w:b/>
                <w:i/>
              </w:rPr>
              <w:t>HWI</w:t>
            </w:r>
            <w:r>
              <w:rPr>
                <w:rFonts w:ascii="Times New Roman;Times;Serif" w:hAnsi="Times New Roman;Times;Serif"/>
                <w:i/>
              </w:rPr>
              <w:t>”)</w:t>
            </w:r>
            <w:r>
              <w:rPr>
                <w:rFonts w:ascii="Times New Roman;Times;Serif" w:hAnsi="Times New Roman;Times;Serif"/>
                <w:i/>
                <w:position w:val="8"/>
                <w:sz w:val="19"/>
              </w:rPr>
              <w:t>3</w:t>
            </w:r>
            <w:r>
              <w:rPr>
                <w:rFonts w:ascii="Times New Roman;Times;Serif" w:hAnsi="Times New Roman;Times;Serif"/>
                <w:i/>
              </w:rPr>
              <w:t xml:space="preserve"> segment decreased 9.4% year-over-year in the second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Revenue in the second quarter of 2026 increased 10.8% year-over-year to RMB7.1 billion (US$1.1 billion)</w:t>
            </w:r>
            <w:r>
              <w:rPr>
                <w:rFonts w:ascii="Times New Roman;Times;Serif" w:hAnsi="Times New Roman;Times;Serif"/>
                <w:position w:val="8"/>
                <w:sz w:val="19"/>
              </w:rPr>
              <w:t>4</w:t>
            </w:r>
            <w:r>
              <w:rPr>
                <w:rFonts w:ascii="Times New Roman;Times;Serif" w:hAnsi="Times New Roman;Times;Serif"/>
                <w:i/>
              </w:rPr>
              <w:t>. Manachised and franchised (“</w:t>
            </w:r>
            <w:r>
              <w:rPr>
                <w:rFonts w:ascii="Times New Roman;Times;Serif" w:hAnsi="Times New Roman;Times;Serif"/>
                <w:b/>
                <w:i/>
              </w:rPr>
              <w:t>M&amp;F</w:t>
            </w:r>
            <w:r>
              <w:rPr>
                <w:rFonts w:ascii="Times New Roman;Times;Serif" w:hAnsi="Times New Roman;Times;Serif"/>
                <w:i/>
              </w:rPr>
              <w:t>”) revenue increased 25.2% year-over-year to RMB3.6 billion (US$529 million) over the same period. Revenue from the HWC segment in the second quarter of 2026 was RMB5.9 billion, which increased 14.9% year-over-year; and HWI segment revenue in the second quarter of 2026 was RMB1.3 billion, which decreased 5.8%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income attributable to H World Group Limited was RMB1.6 billion (US$232 million) in the second quarter of 2026, compared with RMB1.5 billion in the second quarter of 2025 and RMB817 million in the previous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EBITDA (non-GAAP) in the second quarter of 2026 was RMB2.6 billion (US$381 million), compared with RMB2.5 billion in the second quarter of 2025 and RMB1.6 billion in the previous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EBITDA (non-GAAP), which excluded share-based compensation expenses, gain (loss) from fair value changes of equity securities, foreign exchange gain (loss), net, and gain (loss) on disposal of investments from EBITDA (non-GAAP), was RMB2.7 billion (US$401 million) in the second quarter of 2026, compared with RMB2.3 billion in the second quarter of 2025 and RMB1.9 billion in the previous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EBITDA is our segment measure. Adjusted EBITDA from the HWC segment was RMB2.6 billion in the second quarter of 2026, compared with RMB2.1 billion in the second quarter of 2025 and RMB1.9 billion in the previous quarter. Adjusted EBITDA from the HWI segment was RMB131 million in the second quarter of 2026, compared with RMB164 million in the second quarter of 2025 and a loss of RMB56 million in the previous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1</w:t>
            </w:r>
          </w:p>
        </w:tc>
        <w:tc>
          <w:tcPr>
            <w:tcW w:w="10057" w:type="dxa"/>
            <w:tcBorders/>
            <w:vAlign w:val="center"/>
          </w:tcPr>
          <w:p>
            <w:pPr>
              <w:pStyle w:val="TableContents"/>
              <w:bidi w:val="0"/>
              <w:spacing w:before="0" w:after="283"/>
              <w:jc w:val="both"/>
              <w:rPr/>
            </w:pPr>
            <w:r>
              <w:rPr/>
              <w:t>Hotel turnover refers to total transaction value of room and non-room revenue from H World hotels (i.e., leased and owned, manachised and franchised hotels).</w:t>
            </w:r>
          </w:p>
        </w:tc>
      </w:tr>
    </w:tbl>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2</w:t>
            </w:r>
          </w:p>
        </w:tc>
        <w:tc>
          <w:tcPr>
            <w:tcW w:w="7670" w:type="dxa"/>
            <w:tcBorders/>
            <w:vAlign w:val="center"/>
          </w:tcPr>
          <w:p>
            <w:pPr>
              <w:pStyle w:val="TableContents"/>
              <w:bidi w:val="0"/>
              <w:spacing w:before="0" w:after="283"/>
              <w:jc w:val="both"/>
              <w:rPr/>
            </w:pPr>
            <w:r>
              <w:rPr/>
              <w:t xml:space="preserve">HWC refers to H World China, which includes all hotels operating </w:t>
            </w:r>
            <w:r>
              <w:rPr>
                <w:b/>
                <w:i/>
              </w:rPr>
              <w:t>inside</w:t>
            </w:r>
            <w:r>
              <w:rPr/>
              <w:t xml:space="preserve"> China.</w:t>
            </w:r>
          </w:p>
        </w:tc>
      </w:tr>
    </w:tbl>
    <w:tbl>
      <w:tblPr>
        <w:tblW w:w="8463" w:type="dxa"/>
        <w:jc w:val="left"/>
        <w:tblInd w:w="0" w:type="dxa"/>
        <w:tblLayout w:type="fixed"/>
        <w:tblCellMar>
          <w:top w:w="0" w:type="dxa"/>
          <w:left w:w="0" w:type="dxa"/>
          <w:bottom w:w="0" w:type="dxa"/>
          <w:right w:w="0" w:type="dxa"/>
        </w:tblCellMar>
      </w:tblPr>
      <w:tblGrid>
        <w:gridCol w:w="38"/>
        <w:gridCol w:w="11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3</w:t>
            </w:r>
          </w:p>
        </w:tc>
        <w:tc>
          <w:tcPr>
            <w:tcW w:w="8315" w:type="dxa"/>
            <w:tcBorders/>
            <w:vAlign w:val="center"/>
          </w:tcPr>
          <w:p>
            <w:pPr>
              <w:pStyle w:val="TableContents"/>
              <w:bidi w:val="0"/>
              <w:spacing w:before="0" w:after="283"/>
              <w:jc w:val="both"/>
              <w:rPr/>
            </w:pPr>
            <w:r>
              <w:rPr/>
              <w:t xml:space="preserve">HWI refers to H World International, which includes all hotels operating </w:t>
            </w:r>
            <w:r>
              <w:rPr>
                <w:b/>
                <w:i/>
              </w:rPr>
              <w:t>outside</w:t>
            </w:r>
            <w:r>
              <w:rPr/>
              <w:t xml:space="preserve"> China.</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both"/>
              <w:rPr/>
            </w:pPr>
            <w:r>
              <w:rPr/>
              <w:t>The conversion of Renminbi (“</w:t>
            </w:r>
            <w:r>
              <w:rPr>
                <w:b/>
              </w:rPr>
              <w:t>RMB</w:t>
            </w:r>
            <w:r>
              <w:rPr/>
              <w:t>”) into U.S. dollars (“</w:t>
            </w:r>
            <w:r>
              <w:rPr>
                <w:b/>
              </w:rPr>
              <w:t>US$</w:t>
            </w:r>
            <w:r>
              <w:rPr/>
              <w:t>”) is based on the exchange rate of US$1.00=RMB6.7851 on June 30, 2026, as set forth in H.10 statistical release of the U.S. Federal Reserve Board and available at http://www.federalreserve.gov/releases/h10/hist/dat00_ch.htm.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The board of directors of the Company (the “</w:t>
            </w:r>
            <w:r>
              <w:rPr>
                <w:rFonts w:ascii="Times New Roman;Times;Serif" w:hAnsi="Times New Roman;Times;Serif"/>
                <w:b/>
                <w:i/>
              </w:rPr>
              <w:t>Board</w:t>
            </w:r>
            <w:r>
              <w:rPr>
                <w:rFonts w:ascii="Times New Roman;Times;Serif" w:hAnsi="Times New Roman;Times;Serif"/>
                <w:i/>
              </w:rPr>
              <w:t>”) approved a three-year shareholder return plan in the aggregate amount of US$2.5 billion.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The Board declared an ordinary cash dividend in the aggregate amount of approximately US$275 million, of US$0.087 per ordinary share, or US$0.87 per American Depositary Share (“</w:t>
            </w:r>
            <w:r>
              <w:rPr>
                <w:rFonts w:ascii="Times New Roman;Times;Serif" w:hAnsi="Times New Roman;Times;Serif"/>
                <w:b/>
                <w:i/>
              </w:rPr>
              <w:t>ADS</w:t>
            </w:r>
            <w:r>
              <w:rPr>
                <w:rFonts w:ascii="Times New Roman;Times;Serif" w:hAnsi="Times New Roman;Times;Serif"/>
                <w:i/>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We have raised our guidance for the full year of 2026, expecting Group revenue growth to be in the range of 4%-8% compared to the full year of 2025, and up from our previous guidance of 2%-6%, of which HWC revenue growth to be in the range of 7%-11% compared to the previous guidance of 5%-9% excluding DH. H World expects its M&amp;F revenue growth to be in the range of 16%-20% compared to the full year of 2025, and up from our previous guidance of 12%-16%.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Singapore/Shanghai, China, August 17, 2026 – H World Group Limited (NASDAQ: HTHT and HKEX: 1179) (“</w:t>
      </w:r>
      <w:r>
        <w:rPr>
          <w:rFonts w:ascii="Times New Roman;Times;Serif" w:hAnsi="Times New Roman;Times;Serif"/>
          <w:b/>
          <w:i w:val="false"/>
          <w:caps w:val="false"/>
          <w:smallCaps w:val="false"/>
          <w:sz w:val="20"/>
        </w:rPr>
        <w:t>H World</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a key player in the global hotel industry, today announced its unaudited financial results for the second quarter and the first half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H World’s worldwide hotel network in operation totaled 13,539 hotels and 1,335,445 rooms, including 13,417 hotels from HWC and 122 hotels from HWI. During the second quarter of 2026, our HWC business opened 498 hotels, including 1 leased and owned (“</w:t>
      </w:r>
      <w:r>
        <w:rPr>
          <w:rFonts w:ascii="Times New Roman;Times;Serif" w:hAnsi="Times New Roman;Times;Serif"/>
          <w:b/>
          <w:i w:val="false"/>
          <w:caps w:val="false"/>
          <w:smallCaps w:val="false"/>
          <w:sz w:val="20"/>
        </w:rPr>
        <w:t>L&amp;O</w:t>
      </w:r>
      <w:r>
        <w:rPr>
          <w:rFonts w:ascii="Times New Roman;Times;Serif" w:hAnsi="Times New Roman;Times;Serif"/>
          <w:b w:val="false"/>
          <w:i w:val="false"/>
          <w:caps w:val="false"/>
          <w:smallCaps w:val="false"/>
          <w:sz w:val="20"/>
        </w:rPr>
        <w:t>”) hotel, and 497 M&amp;F hotels, and closed a total of 176 hotels, including 19 L&amp;O hotels, and 157 M&amp;F hotels. As of June 30, 2026, H World had a total of 3,089 unopened hotels in our pipeline, including 3,054 hotels from the HWC business and 35 hotels from the HWI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HWC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Second Quarter of 2026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HWC had 13,417 hotels in operation, including 484 L&amp;O hotels, and 12,933 M&amp;F hotels. In addition, as of the same date, HWC had 1,310,091 hotel rooms in operation, including 73,888 rooms under the L&amp;O model, and 1,236,203 rooms under the M&amp;F models. HWC also had 3,054 unopened hotels in its pipeline, including 8 L&amp;O hotels, and 3,046 M&amp;F hotels. The following discusses HWC’s average daily room rate (“</w:t>
      </w:r>
      <w:r>
        <w:rPr>
          <w:rFonts w:ascii="Times New Roman;Times;Serif" w:hAnsi="Times New Roman;Times;Serif"/>
          <w:b/>
          <w:i w:val="false"/>
          <w:caps w:val="false"/>
          <w:smallCaps w:val="false"/>
          <w:sz w:val="20"/>
        </w:rPr>
        <w:t>ADR</w:t>
      </w:r>
      <w:r>
        <w:rPr>
          <w:rFonts w:ascii="Times New Roman;Times;Serif" w:hAnsi="Times New Roman;Times;Serif"/>
          <w:b w:val="false"/>
          <w:i w:val="false"/>
          <w:caps w:val="false"/>
          <w:smallCaps w:val="false"/>
          <w:sz w:val="20"/>
        </w:rPr>
        <w:t>”), occupancy rate and revenue per available room (“</w:t>
      </w:r>
      <w:r>
        <w:rPr>
          <w:rFonts w:ascii="Times New Roman;Times;Serif" w:hAnsi="Times New Roman;Times;Serif"/>
          <w:b/>
          <w:i w:val="false"/>
          <w:caps w:val="false"/>
          <w:smallCaps w:val="false"/>
          <w:sz w:val="20"/>
        </w:rPr>
        <w:t>RevPAR</w:t>
      </w:r>
      <w:r>
        <w:rPr>
          <w:rFonts w:ascii="Times New Roman;Times;Serif" w:hAnsi="Times New Roman;Times;Serif"/>
          <w:b w:val="false"/>
          <w:i w:val="false"/>
          <w:caps w:val="false"/>
          <w:smallCaps w:val="false"/>
          <w:sz w:val="20"/>
        </w:rPr>
        <w:t>”) for L&amp;O HWC hotels, as well as for M&amp;F HWC hotels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The HWC ADR was RMB298 in the second quarter of 2026, compared with RMB290 in the second quarter of 2025 and RMB285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The occupancy rate for all HWC hotels in operation was 79.8% in the second quarter of 2026, compared with 81.0% in the second quarter of 2025 and 75.1%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Page 2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Blended HWC RevPAR was RMB238 in the second quarter of 2026, compared with RMB235 in the second quarter of 2025 and RMB214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For all HWC hotels which had been in operation for at least 18 months, the same-hotel RevPAR was RMB233 in the second quarter of 2026, representing a 3.0% decrease from RMB240 in the second quarter of 2025, with a largely flat same-hotel ADR and a 2.4 percentage-point decrease in same-hotel occupancy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HWI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Second Quarter of 2026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HWI had 122 hotels in operation, including 63 leased hotels, and 59 M&amp;F hotels. In addition, as of the same date, HWI had 25,354 hotel rooms in operation, including 13,442 rooms under the lease model, and 11,912 rooms under the M&amp;F models. HWI also had 35 unopened hotels in the pipeline, including 8 leased hotels and 27 M&amp;F hotels. The following discusses HWI’s ADR, occupancy rate and RevPAR for leased as well as for HWI M&amp;F hotels (excluding hotels temporarily closed)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The HWI ADR</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US$139 in the second quarter of 2026, compared with US$137 in the second quarter of 2025 and US$125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The occupancy rate for all HWI hotels in operation was 70.5% in the second quarter of 2026, compared with 74.0% in the second quarter of 2025 and 63.3%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Blended HWI RevPAR</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US$98 in the second quarter of 2026, compared with US$102 in the second quarter of 2025 and US$79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 Hui, CEO of H World commented: “During the second quarter, we delivered another quarter of RevPAR expansion. Our blended HWC ADR rose 2.6% year-on-year, fueling a 1.1% year-over-year lift in blended RevPAR. This performance was underpinned by ongoing product upgrades and a suite of revenue-management optimization initiatives. Meanwhile, our hotel network kept expanding at a solid pace, with 498 newly-opened hotels across China; and the number of hotels in our pipeline grew both year-over-year and quarter-over quarter We remain firmly on track to hit our full-year gross opening guidance of 2,200 -2,300 hotels. Looking ahead, we will continue to pursue ‘brand-led’ high-quality hotel network expansion, backed by our H Rewards membership program and technology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of 2026, our HWI segment’s operational performance was negatively impacted by the Middle East conflict as well as our expansion into the developing South Eastern Asia countries which have lower ADRs and are still in the ramp-up period. The HWI segment recorded a 3.8% year-over-year blended RevPAR decrease, with a 0.9% increase in ADR and a 3.5 percentage-point decrease in occupancy rate. While tensions in the Middle East persist, we believe our HWI segment will show resilience given its low exposure to the region and our continuous efficiency improvement and cost optimization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5</w:t>
            </w:r>
          </w:p>
        </w:tc>
        <w:tc>
          <w:tcPr>
            <w:tcW w:w="10042" w:type="dxa"/>
            <w:tcBorders/>
            <w:vAlign w:val="center"/>
          </w:tcPr>
          <w:p>
            <w:pPr>
              <w:pStyle w:val="TableContents"/>
              <w:bidi w:val="0"/>
              <w:spacing w:before="0" w:after="283"/>
              <w:jc w:val="both"/>
              <w:rPr/>
            </w:pPr>
            <w:r>
              <w:rPr/>
              <w:t>Period comparisons of ADR and RevPAR are presented on a constant U.S. dollar basis, which is calculated by applying current-period quarterly average exchange rates to the prior comparable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and Interim of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28" w:type="dxa"/>
          <w:right w:w="0" w:type="dxa"/>
        </w:tblCellMar>
      </w:tblPr>
      <w:tblGrid>
        <w:gridCol w:w="2795"/>
        <w:gridCol w:w="60"/>
        <w:gridCol w:w="81"/>
        <w:gridCol w:w="658"/>
        <w:gridCol w:w="60"/>
        <w:gridCol w:w="60"/>
        <w:gridCol w:w="81"/>
        <w:gridCol w:w="658"/>
        <w:gridCol w:w="60"/>
        <w:gridCol w:w="60"/>
        <w:gridCol w:w="81"/>
        <w:gridCol w:w="658"/>
        <w:gridCol w:w="60"/>
        <w:gridCol w:w="60"/>
        <w:gridCol w:w="68"/>
        <w:gridCol w:w="671"/>
        <w:gridCol w:w="60"/>
        <w:gridCol w:w="60"/>
        <w:gridCol w:w="68"/>
        <w:gridCol w:w="671"/>
        <w:gridCol w:w="75"/>
      </w:tblGrid>
      <w:tr>
        <w:trPr/>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w:t>
      </w:r>
      <w:r>
        <w:rPr>
          <w:rFonts w:ascii="Times New Roman;Times;Serif" w:hAnsi="Times New Roman;Times;Serif"/>
          <w:b w:val="false"/>
          <w:i w:val="false"/>
          <w:caps w:val="false"/>
          <w:smallCaps w:val="false"/>
          <w:sz w:val="20"/>
        </w:rPr>
        <w:t xml:space="preserve"> in the second quarter of 2026 was RMB7.1 billion (US$1.1 billion), representing a 10.8% year-over-year increase and an 18.8% quarter-over-quarter increase. Revenue from the HWC segment in the second quarter of 2026 was RMB5.9 billion, representing a 14.9% year-over-year increase and a 16.8% quarter-over-quarter increase. The 14.9% HWC year-over-year increase was mainly driven by continued hotel network expansion and improved RevPAR performance. Revenue from the HWI segment in the second quarter of 2026 was RMB1.3 billion, representing a 5.8% year-over-year decline and a 28.9% quarter-over-quarter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 the first half of 2026 was RMB13.1 billion (US$1.9 billion), representing an increase of 11.0% from the first half of 2025. Revenue from HWC in the first half of 2026 was RMB10.9 billion, representing a 13.8% year-over-year increase. Revenue from HWI in the first half of 2026 was RMB2.2 billion, which was a 1.4% year-over-year decrease as we exited several leased hotels over the past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from leased and owned (L&amp;O) hotels</w:t>
      </w:r>
      <w:r>
        <w:rPr>
          <w:rFonts w:ascii="Times New Roman;Times;Serif" w:hAnsi="Times New Roman;Times;Serif"/>
          <w:b w:val="false"/>
          <w:i w:val="false"/>
          <w:caps w:val="false"/>
          <w:smallCaps w:val="false"/>
          <w:sz w:val="20"/>
        </w:rPr>
        <w:t xml:space="preserve"> in the second quarter of 2026 was RMB3.2 billion (US$477 million), representing a 4.9% year-over-year decrease and a 17.6% quarter-over-quarter increase. Revenue from L&amp;O hotels from the HWC segment in the second quarter of 2026 was RMB2.0 billion, representing a 3.6% year-over-year decrease, as we continue exiting L&amp;O hotels. Revenue from leased hotels from the HWI segment in the second quarter of 2026 was RMB1.2 billion, representing a 7.2% year-over-year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revenue from our L&amp;O hotels was RMB6.0 billion (US$882 million), representing a 3.3% year-over-year decline. Revenue from our HWC L&amp;O hotels in the first half of 2026 was RMB3.9 billion, representing a 4.0% year-over-year decrease. Revenue from our HWI leased hotels in the first half of 2026 was RMB2.1 billion, representing a 2.1% year-over-year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from manachised and franchised (M&amp;F) hotels</w:t>
      </w:r>
      <w:r>
        <w:rPr>
          <w:rFonts w:ascii="Times New Roman;Times;Serif" w:hAnsi="Times New Roman;Times;Serif"/>
          <w:b w:val="false"/>
          <w:i w:val="false"/>
          <w:caps w:val="false"/>
          <w:smallCaps w:val="false"/>
          <w:sz w:val="20"/>
        </w:rPr>
        <w:t xml:space="preserve"> in the second quarter of 2026 was RMB3.6 billion (US$529 million), representing a 25.2% year-over-year increase and a 19.3% quarter-over-quarter increase. HWC segment revenue from M&amp;F hotels in the second quarter of 2026 was RMB3.5 billion, representing a 25.4% year-over-year increase, driven primarily by hotel network expansion. HWI segment revenue from M&amp;F hotels in the second quarter of 2026 was RMB47 million, representing a 14.6% year-over-year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revenue from M&amp;F hotels was RMB6.6 billion (US$972 million), representing a 22.9% year-over-year increase. These hotels accounted for 50.3% of revenue in the first half of 2026, compared to 45.4% of revenue in the first half of 2025. Revenue from our HWC M&amp;F hotels in the first half of 2026 was RMB6.5 billion, representing a 23.2% year-over-year increase. Revenue from our HWI M&amp;F hotels in the first half of 2026 was RMB78 million, representing an 8.3% year-over-year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revenue</w:t>
      </w:r>
      <w:r>
        <w:rPr>
          <w:rFonts w:ascii="Times New Roman;Times;Serif" w:hAnsi="Times New Roman;Times;Serif"/>
          <w:b w:val="false"/>
          <w:i w:val="false"/>
          <w:caps w:val="false"/>
          <w:smallCaps w:val="false"/>
          <w:sz w:val="20"/>
        </w:rPr>
        <w:t xml:space="preserve"> represents revenue generated from businesses other than our hotel operations, which mainly includes revenue from the provision of technical services, procurement platform and Huazhu Mall™ and other revenue from the HWI segment, totaling RMB302 million (US$44 million) in the second quarter of 2026, compared to RMB160 million in the second quarter of 2025 and RMB240 million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other revenue was RMB542 million (US$80 million), compared to RMB267 million in the first half of 2025.</w:t>
      </w:r>
    </w:p>
    <w:p>
      <w:pPr>
        <w:pStyle w:val="TextBody"/>
        <w:bidi w:val="0"/>
        <w:spacing w:before="0" w:after="0"/>
        <w:ind w:left="0" w:right="0" w:hanging="0"/>
        <w:jc w:val="left"/>
        <w:rPr>
          <w:caps w:val="false"/>
          <w:smallCaps w:val="false"/>
        </w:rPr>
      </w:pPr>
      <w:r>
        <w:rPr>
          <w:caps w:val="false"/>
          <w:smallCaps w:val="false"/>
        </w:rPr>
        <w:t> </w:t>
      </w:r>
    </w:p>
    <w:tbl>
      <w:tblPr>
        <w:tblW w:w="7415" w:type="dxa"/>
        <w:jc w:val="left"/>
        <w:tblInd w:w="0" w:type="dxa"/>
        <w:tblLayout w:type="fixed"/>
        <w:tblCellMar>
          <w:top w:w="0" w:type="dxa"/>
          <w:left w:w="0" w:type="dxa"/>
          <w:bottom w:w="28" w:type="dxa"/>
          <w:right w:w="0" w:type="dxa"/>
        </w:tblCellMar>
      </w:tblPr>
      <w:tblGrid>
        <w:gridCol w:w="3005"/>
        <w:gridCol w:w="60"/>
        <w:gridCol w:w="73"/>
        <w:gridCol w:w="666"/>
        <w:gridCol w:w="80"/>
        <w:gridCol w:w="60"/>
        <w:gridCol w:w="73"/>
        <w:gridCol w:w="666"/>
        <w:gridCol w:w="80"/>
        <w:gridCol w:w="60"/>
        <w:gridCol w:w="73"/>
        <w:gridCol w:w="666"/>
        <w:gridCol w:w="80"/>
        <w:gridCol w:w="60"/>
        <w:gridCol w:w="73"/>
        <w:gridCol w:w="666"/>
        <w:gridCol w:w="80"/>
        <w:gridCol w:w="60"/>
        <w:gridCol w:w="73"/>
        <w:gridCol w:w="666"/>
        <w:gridCol w:w="95"/>
      </w:tblGrid>
      <w:tr>
        <w:trPr/>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2026</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9" w:type="dxa"/>
            <w:gridSpan w:val="2"/>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top w:val="single" w:sz="8" w:space="0" w:color="000000"/>
              <w:bottom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Hotel operating costs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in the second quarter of 2026 were RMB4.0 billion (US$594 million), </w:t>
      </w:r>
      <w:r>
        <w:rPr>
          <w:rFonts w:ascii="Times New Roman;Times;Serif" w:hAnsi="Times New Roman;Times;Serif"/>
          <w:b w:val="false"/>
          <w:i w:val="false"/>
          <w:caps w:val="false"/>
          <w:smallCaps w:val="false"/>
          <w:sz w:val="20"/>
        </w:rPr>
        <w:t>reflecting a 7.4% year-over-year increase</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The 7.4% year-over-year increase was mainly </w:t>
      </w:r>
      <w:r>
        <w:rPr>
          <w:rFonts w:ascii="Times New Roman;Times;Serif" w:hAnsi="Times New Roman;Times;Serif"/>
          <w:b w:val="false"/>
          <w:i w:val="false"/>
          <w:caps w:val="false"/>
          <w:smallCaps w:val="false"/>
          <w:sz w:val="20"/>
          <w:shd w:fill="FFFFFF" w:val="clear"/>
        </w:rPr>
        <w:t>due to a 10.6% year-over-year increase in HWC costs. A</w:t>
      </w:r>
      <w:r>
        <w:rPr>
          <w:rFonts w:ascii="Times New Roman;Times;Serif" w:hAnsi="Times New Roman;Times;Serif"/>
          <w:b w:val="false"/>
          <w:i w:val="false"/>
          <w:caps w:val="false"/>
          <w:smallCaps w:val="false"/>
          <w:sz w:val="20"/>
        </w:rPr>
        <w:t>s we continue to pursue an asset-light strategy, our hotel operating costs as a per</w:t>
      </w:r>
      <w:r>
        <w:rPr>
          <w:rFonts w:ascii="Times New Roman;Times;Serif" w:hAnsi="Times New Roman;Times;Serif"/>
          <w:b w:val="false"/>
          <w:i w:val="false"/>
          <w:caps w:val="false"/>
          <w:smallCaps w:val="false"/>
          <w:sz w:val="20"/>
          <w:shd w:fill="FFFFFF" w:val="clear"/>
        </w:rPr>
        <w:t>centage of revenue have decreased by 1.8 percentage points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first half of 2026, hotel operating costs were RMB7.7 billion (US$1.1 billion), compared to RMB7.4 billion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Selling, General and Administrative expenses (SG&amp;A)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the second quarter of 2026 were RMB1.0 billion (US$152 million), reflecting a 6.1% year-over-year increase, with a 10.1% year-over-year increase in HWC and a 10.8% year-over-year decrease in HWI.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first half of 2026, SG&amp;A expenses </w:t>
      </w:r>
      <w:r>
        <w:rPr>
          <w:rFonts w:ascii="Times New Roman;Times;Serif" w:hAnsi="Times New Roman;Times;Serif"/>
          <w:b w:val="false"/>
          <w:i w:val="false"/>
          <w:caps w:val="false"/>
          <w:smallCaps w:val="false"/>
          <w:sz w:val="20"/>
          <w:shd w:fill="FFFFFF" w:val="clear"/>
        </w:rPr>
        <w:t>were RMB1.9 billion (US$276 million), compared to RMB1.7 billion in the first half of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operating income, net </w:t>
      </w:r>
      <w:r>
        <w:rPr>
          <w:rFonts w:ascii="Times New Roman;Times;Serif" w:hAnsi="Times New Roman;Times;Serif"/>
          <w:b w:val="false"/>
          <w:i w:val="false"/>
          <w:caps w:val="false"/>
          <w:smallCaps w:val="false"/>
          <w:sz w:val="20"/>
          <w:shd w:fill="FFFFFF" w:val="clear"/>
        </w:rPr>
        <w:t>in the second quarter of 2026 was RMB197 million (US$29 million), compared to RMB105 million in the second quarter of 2025 and RMB22 million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operating income, net in the first half of 2026 was </w:t>
      </w:r>
      <w:r>
        <w:rPr>
          <w:rFonts w:ascii="Times New Roman;Times;Serif" w:hAnsi="Times New Roman;Times;Serif"/>
          <w:b w:val="false"/>
          <w:i w:val="false"/>
          <w:caps w:val="false"/>
          <w:smallCaps w:val="false"/>
          <w:sz w:val="20"/>
          <w:shd w:fill="FFFFFF" w:val="clear"/>
        </w:rPr>
        <w:t>RMB219 million (US$32 million), compared to RMB165 million in the first half of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the second quarter of 2026 was RMB2.2 billion (US$326 million), reflecting a 24.1% year-over-year increase, driven primarily by a 28.0% year-over-year increase in HWC.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from operations in the first half of 2026 </w:t>
      </w:r>
      <w:r>
        <w:rPr>
          <w:rFonts w:ascii="Times New Roman;Times;Serif" w:hAnsi="Times New Roman;Times;Serif"/>
          <w:b w:val="false"/>
          <w:i w:val="false"/>
          <w:caps w:val="false"/>
          <w:smallCaps w:val="false"/>
          <w:sz w:val="20"/>
          <w:shd w:fill="FFFFFF" w:val="clear"/>
        </w:rPr>
        <w:t>was RMB3.7 billion (US$547 million), compared to income from operations of RMB2.9 billion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margin</w:t>
      </w:r>
      <w:r>
        <w:rPr>
          <w:rFonts w:ascii="Times New Roman;Times;Serif" w:hAnsi="Times New Roman;Times;Serif"/>
          <w:b w:val="false"/>
          <w:i w:val="false"/>
          <w:caps w:val="false"/>
          <w:smallCaps w:val="false"/>
          <w:sz w:val="20"/>
          <w:shd w:fill="FFFFFF" w:val="clear"/>
        </w:rPr>
        <w:t>, defined as income from operations as a percentage of revenue, was 31.1% in the second quarter of 2026, compared with 27.8% in the second quarter of 2025 and 24.8% in the previous quarter. The year-over-year margin improvement was mainly driven by a higher revenue contribution from our M&amp;F businesses, consistent with our asset-light expansion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Operating margin in the first half of 2026 was 28.3%, compared with 24.3%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 expense</w:t>
      </w:r>
      <w:r>
        <w:rPr>
          <w:rFonts w:ascii="Times New Roman;Times;Serif" w:hAnsi="Times New Roman;Times;Serif"/>
          <w:b w:val="false"/>
          <w:i w:val="false"/>
          <w:caps w:val="false"/>
          <w:smallCaps w:val="false"/>
          <w:sz w:val="20"/>
        </w:rPr>
        <w:t xml:space="preserve"> in the second quarter of 2026 was RMB687 million (US$101 million), compared to RMB565 million in the second quarter of 2025 and RMB481 million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first half of 2026, income tax expense was RMB1.2 billion (US$172 million), compared to RMB942 million in </w:t>
      </w:r>
      <w:r>
        <w:rPr>
          <w:rFonts w:ascii="Times New Roman;Times;Serif" w:hAnsi="Times New Roman;Times;Serif"/>
          <w:b w:val="false"/>
          <w:i w:val="false"/>
          <w:caps w:val="false"/>
          <w:smallCaps w:val="false"/>
          <w:sz w:val="20"/>
          <w:shd w:fill="FFFFFF" w:val="clear"/>
        </w:rPr>
        <w:t xml:space="preserve">the first half of </w:t>
      </w:r>
      <w:r>
        <w:rPr>
          <w:rFonts w:ascii="Times New Roman;Times;Serif" w:hAnsi="Times New Roman;Times;Serif"/>
          <w:b w:val="false"/>
          <w:i w:val="false"/>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attributable to H World Group Limited </w:t>
      </w:r>
      <w:r>
        <w:rPr>
          <w:rFonts w:ascii="Times New Roman;Times;Serif" w:hAnsi="Times New Roman;Times;Serif"/>
          <w:b w:val="false"/>
          <w:i w:val="false"/>
          <w:caps w:val="false"/>
          <w:smallCaps w:val="false"/>
          <w:sz w:val="20"/>
        </w:rPr>
        <w:t>in the second quarter of 2026 was RMB1.6 billion (US$232 million), reflecting a 2.1% year-over-year increase, supported by a 1.4% year-over-year increase in HWC and a meaningful year-over-year improvement from HWI.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income attributable to H World Group Limited in the first half of 2026 was RMB2.4 billion (US$353 million), compared with RMB2.4 billion in </w:t>
      </w:r>
      <w:r>
        <w:rPr>
          <w:rFonts w:ascii="Times New Roman;Times;Serif" w:hAnsi="Times New Roman;Times;Serif"/>
          <w:b w:val="false"/>
          <w:i w:val="false"/>
          <w:caps w:val="false"/>
          <w:smallCaps w:val="false"/>
          <w:sz w:val="20"/>
          <w:shd w:fill="FFFFFF" w:val="clear"/>
        </w:rPr>
        <w:t xml:space="preserve">the first half of </w:t>
      </w:r>
      <w:r>
        <w:rPr>
          <w:rFonts w:ascii="Times New Roman;Times;Serif" w:hAnsi="Times New Roman;Times;Serif"/>
          <w:b w:val="false"/>
          <w:i w:val="false"/>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6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EBITDA (non-GAAP) </w:t>
      </w:r>
      <w:r>
        <w:rPr>
          <w:rFonts w:ascii="Times New Roman;Times;Serif" w:hAnsi="Times New Roman;Times;Serif"/>
          <w:b w:val="false"/>
          <w:i w:val="false"/>
          <w:caps w:val="false"/>
          <w:smallCaps w:val="false"/>
          <w:sz w:val="20"/>
        </w:rPr>
        <w:t>in the second quarter of 2026 was RMB2.6 billion (US$381 million), compared with RMB2.5 billion in the second quarter of 2025 and RMB1.6 billion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EBITDA (non-GAAP) in the first half of 2026 </w:t>
      </w:r>
      <w:r>
        <w:rPr>
          <w:rFonts w:ascii="Times New Roman;Times;Serif" w:hAnsi="Times New Roman;Times;Serif"/>
          <w:b w:val="false"/>
          <w:i w:val="false"/>
          <w:caps w:val="false"/>
          <w:smallCaps w:val="false"/>
          <w:sz w:val="20"/>
          <w:shd w:fill="FFFFFF" w:val="clear"/>
        </w:rPr>
        <w:t>was RMB4.2 billion (US$618 million), compared with RMB4.1 billion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which excluded the following from EBITDA (non-GAAP): share-based compensation expenses, gain (loss) from fair value changes of equity securities, foreign exchange gain (loss), net, and gain (loss) on disposal of investments, was RMB2.7 billion (US$401 million) in the second quarter of 2026, compared with RMB2.3 billion in the second quarter of 2025 and RMB1.9 billion in the previous quarter. Adjusted EBITDA from the HWC segment, which is a segment measure, was RMB2.6 billion in the second quarter of 2026, compared with RMB2.1 billion in the second quarter of 2025 and RMB1.9 billion in the previous quarter. Adjusted EBITDA from the HWI segment, which is a segment measure, was RMB131 million in the second quarter of 2026, compared with RMB164 million in the second quarter of 2025 and a loss of RMB56 million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(non-GAAP) in the first half of 2026 was RMB4.6 billion (US$676 million), compared with RMB3.8 billion in the first half of 2025. Adjusted EBITDA from HWC was RMB4.5 billion in the first half of 2026, compared with RMB3.7 billion in the first half of 2025. Adjusted EBITDA from HWI was RMB75 million in the first half of 2026, compared with RMB85 million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flow. </w:t>
      </w:r>
      <w:r>
        <w:rPr>
          <w:rFonts w:ascii="Times New Roman;Times;Serif" w:hAnsi="Times New Roman;Times;Serif"/>
          <w:b w:val="false"/>
          <w:i w:val="false"/>
          <w:caps w:val="false"/>
          <w:smallCaps w:val="false"/>
          <w:sz w:val="20"/>
        </w:rPr>
        <w:t>Operating cash inflow in the second quarter of 2026 was RMB3.4 billion (US$503 million). Investing cash inflow in the second quarter of 2026 was RMB1.8 billion (US$270 million)</w:t>
      </w:r>
      <w:r>
        <w:rPr>
          <w:rFonts w:ascii="Times New Roman;Times;Serif" w:hAnsi="Times New Roman;Times;Serif"/>
          <w:b w:val="false"/>
          <w:i w:val="false"/>
          <w:caps w:val="false"/>
          <w:smallCaps w:val="false"/>
          <w:color w:val="333333"/>
          <w:sz w:val="20"/>
          <w:shd w:fill="FFFFFF" w:val="clear"/>
        </w:rPr>
        <w:t>.</w:t>
      </w:r>
      <w:r>
        <w:rPr>
          <w:rFonts w:ascii="Times New Roman;Times;Serif" w:hAnsi="Times New Roman;Times;Serif"/>
          <w:b w:val="false"/>
          <w:i w:val="false"/>
          <w:caps w:val="false"/>
          <w:smallCaps w:val="false"/>
          <w:sz w:val="20"/>
        </w:rPr>
        <w:t xml:space="preserve"> Financing cash outflow in the second quarter of 2026 was RMB3.2 billion (US$475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inflow in the first half of 2026 was RMB3.6 billion (US$536 million), compared to RMB3.2 billion in the first half of 2025. Investing cash inflow in the first half of 2026 was RMB3.3 billion (US$482 million), compared to RMB996 million in the first half of 2025. Financing cash outflow in the first half of 2026 was RMB2.8 billion (US$414 million), compared to RMB1.3 billion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cash equivalents and restricted cash.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As of June 30, 2026, the Company had a total balance of cash and cash equivalents of RMB14.2 billion (US$2.1 billion) and restricted cash of RMB142 million (US$21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Debt financing. </w:t>
      </w:r>
      <w:r>
        <w:rPr>
          <w:rFonts w:ascii="Times New Roman;Times;Serif" w:hAnsi="Times New Roman;Times;Serif"/>
          <w:b w:val="false"/>
          <w:i w:val="false"/>
          <w:caps w:val="false"/>
          <w:smallCaps w:val="false"/>
          <w:sz w:val="20"/>
          <w:shd w:fill="FFFFFF" w:val="clear"/>
        </w:rPr>
        <w:t>As of June 30, 2026, the Company had total debt of RMB4.2 billion (US$623 million). The net cash balances, which include cash and cash equivalents, restricted cash, net of short-term and long-term debt, amounted to RMB10.2 billion (US$1.5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7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Return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 three-year shareholder return plan with an aggregate amount of distributions that may be made to the Company's shareholders of US$2,500,000,000 effective from August 17, 2026 (the "2026 Shareholder Return Plan"). Under the 2026 Shareholder Return Plan, the Board has the sole discretion to declare and distribute ordinary or special dividends (the "Amended Dividend Policy") and/or make repurchases of American depositary shares ("ADS") pursuant to the share repurchase program (as approved by the Board from time to time), considering the financial position of the Company and otherwise in accordance with its articles of association and Cayman Islands law. The Company’s existing ordinary dividend policy will be amended and replaced by the Amended 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2026 Shareholder Return Plan, on the same date, the Board has approved the declaration and payment of an ordinary cash dividend (the “</w:t>
      </w:r>
      <w:r>
        <w:rPr>
          <w:rFonts w:ascii="Times New Roman;Times;Serif" w:hAnsi="Times New Roman;Times;Serif"/>
          <w:b/>
          <w:i w:val="false"/>
          <w:caps w:val="false"/>
          <w:smallCaps w:val="false"/>
          <w:sz w:val="20"/>
        </w:rPr>
        <w:t>Cash Dividend</w:t>
      </w:r>
      <w:r>
        <w:rPr>
          <w:rFonts w:ascii="Times New Roman;Times;Serif" w:hAnsi="Times New Roman;Times;Serif"/>
          <w:b w:val="false"/>
          <w:i w:val="false"/>
          <w:caps w:val="false"/>
          <w:smallCaps w:val="false"/>
          <w:sz w:val="20"/>
        </w:rPr>
        <w:t>”) in the aggregate amount of approximately US$275 million, of US$0.087 per ordinary share, or US$0.87 per ADS. Holders of the Company’s ordinary shares or ADSs as of the close of business on September 8, 2026 will be entitled to receive the Cash Dividend. Cash Dividend to holders of the Company’s ordinary shares is expected to be distributed on or about September 15, 2026. Citibank, N.A. (“</w:t>
      </w:r>
      <w:r>
        <w:rPr>
          <w:rFonts w:ascii="Times New Roman;Times;Serif" w:hAnsi="Times New Roman;Times;Serif"/>
          <w:b/>
          <w:i w:val="false"/>
          <w:caps w:val="false"/>
          <w:smallCaps w:val="false"/>
          <w:sz w:val="20"/>
        </w:rPr>
        <w:t>Citi</w:t>
      </w:r>
      <w:r>
        <w:rPr>
          <w:rFonts w:ascii="Times New Roman;Times;Serif" w:hAnsi="Times New Roman;Times;Serif"/>
          <w:b w:val="false"/>
          <w:i w:val="false"/>
          <w:caps w:val="false"/>
          <w:smallCaps w:val="false"/>
          <w:sz w:val="20"/>
        </w:rPr>
        <w:t>”), depositary bank for the Company’s ADS program, expects to pay out the Cash Dividend to ADS holders on or about September 22, 2026. Cash Dividend to be paid to the Company’s ADS holders through Citi will be subject to the terms of the deposit agreement by and among the Company and Citi, and the holders and beneficial owners of ADSs issued thereunder, including the fees and expenses payable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raised our guidance for the full year of 2026, expecting Group revenue growth to be in the range of 4%-8% compared to the full year of 2025, and up from our previous guidance of 2%-6%, of which HWC revenue growth to be in the range of 7%-11% compared to the previous guidance of 5%-9% excluding DH. H World expects its M&amp;F revenue growth to be in the range of 16%-20% compared to the full year of 2025, and up from our previous guidance of 12%-16%.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forecast reflects the Company’s current and preliminary view, which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World’s management will host a conference call at 7 a.m. (U.S. Eastern time) on Monday, August 17, 2026 (or 7 p.m. (Hong Kong time) on Monday, August 17, 2026) following the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8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join by phone, all participants must pre-register this conference call using the Participant Registration link of </w:t>
      </w:r>
      <w:r>
        <w:rPr>
          <w:rFonts w:ascii="Times New Roman;Times;Serif" w:hAnsi="Times New Roman;Times;Serif"/>
          <w:b w:val="false"/>
          <w:i w:val="false"/>
          <w:caps w:val="false"/>
          <w:smallCaps w:val="false"/>
          <w:sz w:val="20"/>
          <w:u w:val="single"/>
        </w:rPr>
        <w:t>https://register-conf.media-server.com/register/BI5e31bbbd257d4448ba4120bb310afe2b.</w:t>
      </w:r>
      <w:r>
        <w:rPr>
          <w:rFonts w:ascii="Times New Roman;Times;Serif" w:hAnsi="Times New Roman;Times;Serif"/>
          <w:b w:val="false"/>
          <w:i w:val="false"/>
          <w:caps w:val="false"/>
          <w:smallCaps w:val="false"/>
          <w:sz w:val="20"/>
        </w:rPr>
        <w:t xml:space="preserve"> Upon registration, each participant will receive details for the conference call, including dial-in numbers, conference call passcode and a unique access 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call can be accessed at </w:t>
      </w:r>
      <w:r>
        <w:rPr>
          <w:rFonts w:ascii="Times New Roman;Times;Serif" w:hAnsi="Times New Roman;Times;Serif"/>
          <w:b w:val="false"/>
          <w:i w:val="false"/>
          <w:caps w:val="false"/>
          <w:smallCaps w:val="false"/>
          <w:sz w:val="20"/>
          <w:u w:val="single"/>
        </w:rPr>
        <w:t>https://edge.media-server.com/mmc/p/3gwfteju</w:t>
      </w:r>
      <w:r>
        <w:rPr>
          <w:rFonts w:ascii="Times New Roman;Times;Serif" w:hAnsi="Times New Roman;Times;Serif"/>
          <w:b w:val="false"/>
          <w:i w:val="false"/>
          <w:caps w:val="false"/>
          <w:smallCaps w:val="false"/>
          <w:sz w:val="20"/>
        </w:rPr>
        <w:t xml:space="preserve"> or the Company’s website at </w:t>
      </w:r>
      <w:r>
        <w:rPr>
          <w:rFonts w:ascii="Times New Roman;Times;Serif" w:hAnsi="Times New Roman;Times;Serif"/>
          <w:b w:val="false"/>
          <w:i w:val="false"/>
          <w:caps w:val="false"/>
          <w:smallCaps w:val="false"/>
          <w:sz w:val="20"/>
          <w:u w:val="single"/>
        </w:rPr>
        <w:t>https://ir.hworld.com/news-and-events/events-calendar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replay of the conference call will be available for twelve months from the date of the conference at the Company’s website, </w:t>
      </w:r>
      <w:r>
        <w:rPr>
          <w:rFonts w:ascii="Times New Roman;Times;Serif" w:hAnsi="Times New Roman;Times;Serif"/>
          <w:b w:val="false"/>
          <w:i w:val="false"/>
          <w:caps w:val="false"/>
          <w:smallCaps w:val="false"/>
          <w:sz w:val="20"/>
          <w:u w:val="single"/>
        </w:rPr>
        <w:t>https://ir.hworld.com/news-and-events/events-calendar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unaudited consolidated financial results presented in accordance with U.S. Generally-Accepted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the Company uses the following non-GAAP measures defined as non-GAAP financial measures by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adjusted net income (loss) attributable to H World Group Limited excluding share-based compensation expenses, gain (loss) from fair value changes of equity securities, foreign exchange gain (loss), net, and gain (loss) on disposal of investments; adjusted basic and diluted earnings (losses) per share/American Depositary Share (“ADS”) excluding share-based compensation expenses, gain (loss) from fair value changes of equity securities, foreign exchange gain (loss), net, and gain (loss) on disposal of investments; EBITDA; adjusted EBITDA excluding share-based compensation expenses, gain (loss) from fair value changes of equity securities, foreign exchange gain (loss), net, and gain (loss) on disposal of investments. The presentation of these non-GAAP financial measures is not intended to be considered in isolation or as a substitute for the financial information prepared and presented in accordance with U.S. GAAP. For more information on these non-GAAP financial measures, please see the table captioned “Unaudited Reconciliations of GAAP and non-GAAP Results” set forth at the end of this release. The Company believes that these non-GAAP financial measures provide meaningful supplemental information regarding Company performance </w:t>
      </w:r>
      <w:r>
        <w:rPr>
          <w:rFonts w:ascii="Times New Roman;Times;Serif" w:hAnsi="Times New Roman;Times;Serif"/>
          <w:b w:val="false"/>
          <w:i w:val="false"/>
          <w:caps w:val="false"/>
          <w:smallCaps w:val="false"/>
          <w:sz w:val="20"/>
          <w:shd w:fill="FFFFFF" w:val="clear"/>
        </w:rPr>
        <w:t>by excluding share-based compensation expenses, gain (loss) from fair value changes of equity securities, foreign exchange gain (loss), net, and gain (loss) on disposal of investments</w:t>
      </w:r>
      <w:r>
        <w:rPr>
          <w:rFonts w:ascii="Times New Roman;Times;Serif" w:hAnsi="Times New Roman;Times;Serif"/>
          <w:b w:val="false"/>
          <w:i w:val="false"/>
          <w:caps w:val="false"/>
          <w:smallCaps w:val="false"/>
          <w:sz w:val="20"/>
        </w:rPr>
        <w:t xml:space="preserve"> that may not be indicative of Company operating performance. The Company believes that both management and investors benefit from referring to these non-GAAP financial measures in assessing Company performance and when planning and forecasting future periods. These non-GAAP financial measures also facilitate management’s internal comparisons to the Company’s historical performance. The Company believes these non-GAAP financial measures are also useful to investors in allowing for greater transparency with respect to supplemental information used regularly by Company management in financial and operational decision-making. A limitation of using non-GAAP financial measures </w:t>
      </w:r>
      <w:r>
        <w:rPr>
          <w:rFonts w:ascii="Times New Roman;Times;Serif" w:hAnsi="Times New Roman;Times;Serif"/>
          <w:b w:val="false"/>
          <w:i w:val="false"/>
          <w:caps w:val="false"/>
          <w:smallCaps w:val="false"/>
          <w:sz w:val="20"/>
          <w:shd w:fill="FFFFFF" w:val="clear"/>
        </w:rPr>
        <w:t>excluding share-based compensation expenses, gain (loss) from fair value changes of equity securities, foreign exchange gain (loss), net, and gain (loss) on disposal of investments is that share-based compensation expenses, gain (loss) from fair value changes of equity securities, foreign exchange gain (loss), net, and gain (loss) on disposal of investments have been and may continue to be significant and recurring in the Company’s business.</w:t>
      </w:r>
      <w:r>
        <w:rPr>
          <w:rFonts w:ascii="Times New Roman;Times;Serif" w:hAnsi="Times New Roman;Times;Serif"/>
          <w:b w:val="false"/>
          <w:i w:val="false"/>
          <w:caps w:val="false"/>
          <w:smallCaps w:val="false"/>
          <w:sz w:val="20"/>
        </w:rPr>
        <w:t xml:space="preserve"> Management compensates for these limitations by providing specific information regarding the GAAP amounts excluded from each non-GAAP measure. The accompanying tables have more details on the reconciliations between GAAP financial measures that are most directly comparable to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9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EBITDA is a useful financial metric to assess the operating and financial performance before the impact of investing and financing transactions and income taxes, given the significant investments that the Company has made in leasehold improvements, depreciation and amortization expense that comprise a significant portion of the Company’s cost structure. In addition, the Company believes that EBITDA is widely used by other companies in the lodging industry and may be used by investors as a measure of financial performance. The Company believes that EBITDA information provides investors with a useful tool for comparability between periods because it excludes depreciation and amortization expense attributable to capital expenditures. The Company also uses adjusted EBITDA to assess operating results of its hotels in operation. The Company believes that the exclusion of share-based compensation expenses, gain (loss) from fair value changes of equity securities, foreign exchange gain (loss), net, and gain (loss) on disposal of investments helps facilitate year-over-year comparisons of the results of operations as the share-based compensation expenses, gain (loss) from fair value changes of equity securities, foreign exchange gain (loss), net, and gain (loss) on disposal of investments may not be indicative of Company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Company believes adjusted EBITDA more closely reflects the financial performance capability of Company’s hotels. The presentation of EBITDA and adjusted EBITDA should not be construed as an indication that the Company’s future results will be unaffected by other charges and gains considered to be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EBITDA and adjusted EBITDA has certain limitations. Depreciation and amortization expense for various long-term assets (including land use rights), income tax, interest expense and interest income have been and will be incurred and are not reflected in the presentation of EBITDA. Share-based compensation expenses, gain (loss) from fair value changes of equity securities, foreign exchange gain (loss), net, and gain (loss) on disposal of investments have been and will be incurred and are not reflected in the presentation of adjusted EBITDA. Each of these items should also be considered in the overall evaluation of the results. The Company compensates for these limitations by providing the relevant disclosure of depreciation and amortization, interest income, interest expense, income tax expense, share-based compensation expenses, gain (loss) from fair value changes of equity securities, foreign exchange gain (loss), net, and gain (loss) on disposal of investments all in the reconciliations to the U.S. GAAP financial measures and in the consolidated financial statements, all of which should be considered when evaluating the performance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10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EBITDA and adjusted EBITDA are not defined under U.S. GAAP, and neither EBITDA nor adjusted EBITDA is a measure of net income, operating income, operating performance or liquidity presented in accordance with U.S. GAAP. When assessing the operating and financial performance, investors should not consider these data in isolation or as a substitute for the Company’s net income, operating income or any other operating performance measure that is calculated in accordance with U.S. GAAP. In addition, the Company’s EBITDA or adjusted EBITDA may not be comparable to EBITDA or adjusted EBITDA or similarly titled measures utilized by other companies since such other companies may not calculate EBITDA or adjusted EBITDA in the same manner as the Company does.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Company’s non-GAAP financial measures, including EBITDA and adjusted EBITDA, to the consolidated statement of operations information are included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 World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Originated in China, H World Group Limited is a key player in the global hotel industry. As of June 30, 2026, H World operated 13,539 hotels with 1,335,445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June 30, 2026, H World operated 7 percent of its hotel rooms under the L&amp;O model, and 93 percent under the M&amp;F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11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H World’s website: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 Under the U.S. Private Securities Litigation Reform Act of 1995: The information in this release contains forward-looking statements which involve risks and uncertainties. Such factors and risks include our anticipated growth strategies; our future results of operations and financial condition; economic conditions; the regulatory environment; our ability to attract and retain customers and leverage our brands; trends and competition in the lodging industry; the expected growth of demand for lodging; and other factors and risks detailed in our filings with the U.S. Securities and Exchange Commission. Any statements contained herein that are not statements of historical fact may be deemed to be forward-looking statements, which may be identified by terminology such as “may,” “should,” “will,” “expect,” “plan,” “intend,” “anticipate,” “believe,” “estimate,” “predict,” “potential,” “forecast,” “project” or “continue,” the negative of such terms or other comparable terminology. Readers should not rely on forward-looking statements as predictions of future events or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 undertakes no obligation to update or revise any forward-looking statements, whether as a result of new information, future events or otherwise, unless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Financial Tables and Operational Data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12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World Group Limited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283"/>
        <w:jc w:val="left"/>
        <w:rPr/>
      </w:pPr>
      <w:r>
        <w:rPr/>
        <w:t> </w:t>
      </w:r>
    </w:p>
    <w:tbl>
      <w:tblPr>
        <w:tblW w:w="7384" w:type="dxa"/>
        <w:jc w:val="left"/>
        <w:tblInd w:w="0" w:type="dxa"/>
        <w:tblLayout w:type="fixed"/>
        <w:tblCellMar>
          <w:top w:w="0" w:type="dxa"/>
          <w:left w:w="0" w:type="dxa"/>
          <w:bottom w:w="0" w:type="dxa"/>
          <w:right w:w="0" w:type="dxa"/>
        </w:tblCellMar>
      </w:tblPr>
      <w:tblGrid>
        <w:gridCol w:w="4115"/>
        <w:gridCol w:w="60"/>
        <w:gridCol w:w="150"/>
        <w:gridCol w:w="1489"/>
        <w:gridCol w:w="80"/>
        <w:gridCol w:w="60"/>
        <w:gridCol w:w="60"/>
        <w:gridCol w:w="590"/>
        <w:gridCol w:w="80"/>
        <w:gridCol w:w="60"/>
        <w:gridCol w:w="60"/>
        <w:gridCol w:w="485"/>
        <w:gridCol w:w="95"/>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r>
              <w:rPr>
                <w:rFonts w:ascii="Times New Roman;Times;Serif" w:hAnsi="Times New Roman;Times;Serif"/>
                <w:b/>
                <w:i w:val="false"/>
                <w:caps w:val="false"/>
                <w:smallCaps w:val="false"/>
                <w:position w:val="7"/>
                <w:sz w:val="16"/>
                <w:sz w:val="20"/>
              </w:rPr>
              <w:t>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14"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receivables - current,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 World Group Limited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sz w:val="20"/>
        </w:rPr>
      </w:pPr>
      <w:r>
        <w:rPr>
          <w:position w:val="7"/>
          <w:sz w:val="16"/>
          <w:sz w:val="20"/>
        </w:rPr>
        <w:t>6</w:t>
      </w:r>
      <w:r>
        <w:rPr>
          <w:sz w:val="20"/>
        </w:rPr>
        <w:t xml:space="preserve"> The conversion of Renminbi (“</w:t>
      </w:r>
      <w:r>
        <w:rPr>
          <w:b/>
          <w:sz w:val="20"/>
        </w:rPr>
        <w:t>RMB</w:t>
      </w:r>
      <w:r>
        <w:rPr>
          <w:sz w:val="20"/>
        </w:rPr>
        <w:t>”) into U.S. dollars (“</w:t>
      </w:r>
      <w:r>
        <w:rPr>
          <w:b/>
          <w:sz w:val="20"/>
        </w:rPr>
        <w:t>US$</w:t>
      </w:r>
      <w:r>
        <w:rPr>
          <w:sz w:val="20"/>
        </w:rPr>
        <w:t>”) is based on the exchange rate of US$1.00=RMB6.7851 on June 30, 2026, as set forth in H.10 statistical release of the U.S. Federal Reserve Board and available at http://www.federalreserve.gov/releases/h10/hist/dat00_ch.htm.</w:t>
      </w:r>
    </w:p>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Page 13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bidi w:val="0"/>
        <w:spacing w:before="0" w:after="283"/>
        <w:jc w:val="left"/>
        <w:rPr/>
      </w:pPr>
      <w:r>
        <w:rPr/>
        <w:t> </w:t>
      </w:r>
    </w:p>
    <w:tbl>
      <w:tblPr>
        <w:tblW w:w="10740" w:type="dxa"/>
        <w:jc w:val="left"/>
        <w:tblInd w:w="0" w:type="dxa"/>
        <w:tblLayout w:type="fixed"/>
        <w:tblCellMar>
          <w:top w:w="0" w:type="dxa"/>
          <w:left w:w="0" w:type="dxa"/>
          <w:bottom w:w="0" w:type="dxa"/>
          <w:right w:w="0" w:type="dxa"/>
        </w:tblCellMar>
      </w:tblPr>
      <w:tblGrid>
        <w:gridCol w:w="1310"/>
        <w:gridCol w:w="60"/>
        <w:gridCol w:w="1205"/>
        <w:gridCol w:w="80"/>
        <w:gridCol w:w="60"/>
        <w:gridCol w:w="1205"/>
        <w:gridCol w:w="80"/>
        <w:gridCol w:w="60"/>
        <w:gridCol w:w="1205"/>
        <w:gridCol w:w="80"/>
        <w:gridCol w:w="60"/>
        <w:gridCol w:w="1205"/>
        <w:gridCol w:w="80"/>
        <w:gridCol w:w="60"/>
        <w:gridCol w:w="1205"/>
        <w:gridCol w:w="80"/>
        <w:gridCol w:w="60"/>
        <w:gridCol w:w="1205"/>
        <w:gridCol w:w="80"/>
        <w:gridCol w:w="60"/>
        <w:gridCol w:w="1205"/>
        <w:gridCol w:w="95"/>
      </w:tblGrid>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9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4"/>
            <w:tcBorders/>
            <w:vAlign w:val="center"/>
          </w:tcPr>
          <w:p>
            <w:pPr>
              <w:pStyle w:val="TableContents"/>
              <w:bidi w:val="0"/>
              <w:spacing w:before="0" w:after="0"/>
              <w:ind w:left="0" w:right="0" w:hanging="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4"/>
            <w:tcBorders/>
            <w:vAlign w:val="center"/>
          </w:tcPr>
          <w:p>
            <w:pPr>
              <w:pStyle w:val="TableContents"/>
              <w:bidi w:val="0"/>
              <w:spacing w:before="0" w:after="0"/>
              <w:ind w:left="0" w:right="0" w:hanging="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75" w:type="dxa"/>
            <w:gridSpan w:val="1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shares, per share and per ADS data)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Consumables, food and beverage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hotel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(losses) from fair value changes of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H World Group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Gains(losses) from fair value changes of debt securities,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attributable to H World Group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(Losses)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(Losses) per ADS: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computation:</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3,071,789,285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3,072,694,153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3,152,513,098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3,152,513,098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3,069,285,390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3,113,494,317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3,113,494,317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3,241,412,875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3,270,612,951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3,253,335,432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3,253,335,432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3,238,797,601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3,262,617,460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3,262,617,460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Page 14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80"/>
        <w:gridCol w:w="60"/>
        <w:gridCol w:w="725"/>
        <w:gridCol w:w="80"/>
        <w:gridCol w:w="60"/>
        <w:gridCol w:w="890"/>
        <w:gridCol w:w="80"/>
        <w:gridCol w:w="60"/>
        <w:gridCol w:w="590"/>
        <w:gridCol w:w="80"/>
        <w:gridCol w:w="60"/>
        <w:gridCol w:w="485"/>
        <w:gridCol w:w="80"/>
        <w:gridCol w:w="60"/>
        <w:gridCol w:w="964"/>
        <w:gridCol w:w="80"/>
        <w:gridCol w:w="60"/>
        <w:gridCol w:w="590"/>
        <w:gridCol w:w="80"/>
        <w:gridCol w:w="60"/>
        <w:gridCol w:w="485"/>
        <w:gridCol w:w="96"/>
      </w:tblGrid>
      <w:tr>
        <w:trPr/>
        <w:tc>
          <w:tcPr>
            <w:tcW w:w="4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9"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gridSpan w:val="4"/>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gridSpan w:val="4"/>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9" w:type="dxa"/>
            <w:gridSpan w:val="1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equity method investments, net of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loss and foreign exchange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maturity/sale and return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advances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collections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4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share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increase (decrease) in cash and cash equivalents classified within assets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Page 15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283"/>
        <w:jc w:val="left"/>
        <w:rPr/>
      </w:pPr>
      <w:r>
        <w:rPr/>
        <w:t> </w:t>
      </w:r>
    </w:p>
    <w:tbl>
      <w:tblPr>
        <w:tblW w:w="10545" w:type="dxa"/>
        <w:jc w:val="left"/>
        <w:tblInd w:w="0" w:type="dxa"/>
        <w:tblLayout w:type="fixed"/>
        <w:tblCellMar>
          <w:top w:w="0" w:type="dxa"/>
          <w:left w:w="0" w:type="dxa"/>
          <w:bottom w:w="0" w:type="dxa"/>
          <w:right w:w="0" w:type="dxa"/>
        </w:tblCellMar>
      </w:tblPr>
      <w:tblGrid>
        <w:gridCol w:w="1175"/>
        <w:gridCol w:w="60"/>
        <w:gridCol w:w="1205"/>
        <w:gridCol w:w="80"/>
        <w:gridCol w:w="60"/>
        <w:gridCol w:w="1205"/>
        <w:gridCol w:w="60"/>
        <w:gridCol w:w="60"/>
        <w:gridCol w:w="1205"/>
        <w:gridCol w:w="80"/>
        <w:gridCol w:w="60"/>
        <w:gridCol w:w="1205"/>
        <w:gridCol w:w="80"/>
        <w:gridCol w:w="60"/>
        <w:gridCol w:w="1205"/>
        <w:gridCol w:w="80"/>
        <w:gridCol w:w="60"/>
        <w:gridCol w:w="1205"/>
        <w:gridCol w:w="60"/>
        <w:gridCol w:w="60"/>
        <w:gridCol w:w="1205"/>
        <w:gridCol w:w="75"/>
      </w:tblGrid>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4"/>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4"/>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35" w:type="dxa"/>
            <w:gridSpan w:val="1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shares, per share and per ADS data)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H World Group Limited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fair value changes of equity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disposal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(loss) attributable to H World Group Limited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(losses) per share (non-GAAP)</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545" w:type="dxa"/>
            <w:gridSpan w:val="2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(losses) per ADS (non-GAAP)</w:t>
            </w:r>
          </w:p>
        </w:tc>
      </w:tr>
      <w:tr>
        <w:trPr/>
        <w:tc>
          <w:tcPr>
            <w:tcW w:w="11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computation</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3,071,789,285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3,072,694,153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3,152,513,098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3,152,513,098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3,069,285,390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3,113,494,317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3,113,494,317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3,241,412,875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3,270,612,951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3,253,335,432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3,253,335,432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3,238,797,601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3,262,617,460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3,262,617,460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Page 16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95"/>
        <w:gridCol w:w="60"/>
        <w:gridCol w:w="759"/>
        <w:gridCol w:w="80"/>
        <w:gridCol w:w="60"/>
        <w:gridCol w:w="890"/>
        <w:gridCol w:w="80"/>
        <w:gridCol w:w="60"/>
        <w:gridCol w:w="558"/>
        <w:gridCol w:w="92"/>
        <w:gridCol w:w="69"/>
        <w:gridCol w:w="413"/>
        <w:gridCol w:w="80"/>
        <w:gridCol w:w="60"/>
        <w:gridCol w:w="1078"/>
        <w:gridCol w:w="80"/>
        <w:gridCol w:w="60"/>
        <w:gridCol w:w="558"/>
        <w:gridCol w:w="92"/>
        <w:gridCol w:w="69"/>
        <w:gridCol w:w="413"/>
        <w:gridCol w:w="99"/>
      </w:tblGrid>
      <w:tr>
        <w:trPr/>
        <w:tc>
          <w:tcPr>
            <w:tcW w:w="4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2" w:type="dxa"/>
            <w:gridSpan w:val="4"/>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2" w:type="dxa"/>
            <w:gridSpan w:val="4"/>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41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41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1" w:type="dxa"/>
            <w:gridSpan w:val="1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and per ADS data)</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H World Group Limited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fair value changes of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disposal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Financial Summary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27"/>
        <w:gridCol w:w="60"/>
        <w:gridCol w:w="539"/>
        <w:gridCol w:w="64"/>
        <w:gridCol w:w="64"/>
        <w:gridCol w:w="522"/>
        <w:gridCol w:w="64"/>
        <w:gridCol w:w="64"/>
        <w:gridCol w:w="1121"/>
        <w:gridCol w:w="80"/>
        <w:gridCol w:w="60"/>
        <w:gridCol w:w="564"/>
        <w:gridCol w:w="67"/>
        <w:gridCol w:w="67"/>
        <w:gridCol w:w="530"/>
        <w:gridCol w:w="90"/>
        <w:gridCol w:w="67"/>
        <w:gridCol w:w="1174"/>
        <w:gridCol w:w="80"/>
        <w:gridCol w:w="60"/>
        <w:gridCol w:w="539"/>
        <w:gridCol w:w="64"/>
        <w:gridCol w:w="64"/>
        <w:gridCol w:w="522"/>
        <w:gridCol w:w="64"/>
        <w:gridCol w:w="64"/>
        <w:gridCol w:w="1121"/>
        <w:gridCol w:w="103"/>
      </w:tblGrid>
      <w:tr>
        <w:trPr/>
        <w:tc>
          <w:tcPr>
            <w:tcW w:w="23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8"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9"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8"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HWC</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HWI</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HWC</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HWI</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HWC</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HWI</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2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2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8"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9"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8"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2,829</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5,115</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5,031</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5,876</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1,253</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Beginning in 1Q26, we relabeled our operating segments to “HWC” and “HWI”, to replace formerly “Legacy-Huazhu” and “Legacy-DH”. In addition, there is a minor realignment between these two segments in 2026; accordingly, comparative figures for the prior periods were updated to conform to the current period’s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17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Segment Financial Summary</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9570" w:type="dxa"/>
        <w:jc w:val="left"/>
        <w:tblInd w:w="0" w:type="dxa"/>
        <w:tblLayout w:type="fixed"/>
        <w:tblCellMar>
          <w:top w:w="0" w:type="dxa"/>
          <w:left w:w="0" w:type="dxa"/>
          <w:bottom w:w="0" w:type="dxa"/>
          <w:right w:w="0" w:type="dxa"/>
        </w:tblCellMar>
      </w:tblPr>
      <w:tblGrid>
        <w:gridCol w:w="2795"/>
        <w:gridCol w:w="60"/>
        <w:gridCol w:w="98"/>
        <w:gridCol w:w="798"/>
        <w:gridCol w:w="98"/>
        <w:gridCol w:w="98"/>
        <w:gridCol w:w="98"/>
        <w:gridCol w:w="798"/>
        <w:gridCol w:w="98"/>
        <w:gridCol w:w="98"/>
        <w:gridCol w:w="178"/>
        <w:gridCol w:w="862"/>
        <w:gridCol w:w="80"/>
        <w:gridCol w:w="60"/>
        <w:gridCol w:w="92"/>
        <w:gridCol w:w="913"/>
        <w:gridCol w:w="92"/>
        <w:gridCol w:w="92"/>
        <w:gridCol w:w="92"/>
        <w:gridCol w:w="751"/>
        <w:gridCol w:w="92"/>
        <w:gridCol w:w="92"/>
        <w:gridCol w:w="178"/>
        <w:gridCol w:w="862"/>
        <w:gridCol w:w="9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5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HWC</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HWI</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HWC</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HWI</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84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4"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56"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6,529</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3,681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4,508</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Beginning in 1Q26, we relabeled our operating segments to “HWC” and “HWI”, to replace formerly “Legacy-Huazhu” and “Legacy-DH”. In addition, there is a minor realignment between these two segments in 2026; accordingly, comparative figures for the prior periods were updated to conform to the current period’s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Page 18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Operating Results: HWC</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2795"/>
        <w:gridCol w:w="60"/>
        <w:gridCol w:w="950"/>
        <w:gridCol w:w="60"/>
        <w:gridCol w:w="60"/>
        <w:gridCol w:w="950"/>
        <w:gridCol w:w="80"/>
        <w:gridCol w:w="60"/>
        <w:gridCol w:w="950"/>
        <w:gridCol w:w="80"/>
        <w:gridCol w:w="60"/>
        <w:gridCol w:w="1190"/>
        <w:gridCol w:w="60"/>
        <w:gridCol w:w="60"/>
        <w:gridCol w:w="1505"/>
        <w:gridCol w:w="75"/>
      </w:tblGrid>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rooms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br/>
            </w: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Opened</w:t>
              <w:br/>
              <w:t>in Q2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Closed</w:t>
              <w:br/>
              <w:t>in Q2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added</w:t>
              <w:br/>
              <w:t>in Q2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1,236,203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1,310,091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tab/>
        <w:t>HWC refers to H World China, covering all hotels operating inside China.</w:t>
      </w:r>
    </w:p>
    <w:p>
      <w:pPr>
        <w:pStyle w:val="TextBody"/>
        <w:bidi w:val="0"/>
        <w:spacing w:before="0" w:after="0"/>
        <w:ind w:left="0" w:right="0" w:hanging="0"/>
        <w:jc w:val="left"/>
        <w:rPr>
          <w:caps w:val="false"/>
          <w:smallCaps w:val="false"/>
        </w:rPr>
      </w:pPr>
      <w:r>
        <w:rPr>
          <w:caps w:val="false"/>
          <w:smallCaps w:val="false"/>
        </w:rPr>
        <w:t> </w:t>
      </w:r>
    </w:p>
    <w:tbl>
      <w:tblPr>
        <w:tblW w:w="7738" w:type="dxa"/>
        <w:jc w:val="left"/>
        <w:tblInd w:w="0" w:type="dxa"/>
        <w:tblLayout w:type="fixed"/>
        <w:tblCellMar>
          <w:top w:w="0" w:type="dxa"/>
          <w:left w:w="0" w:type="dxa"/>
          <w:bottom w:w="0" w:type="dxa"/>
          <w:right w:w="0" w:type="dxa"/>
        </w:tblCellMar>
      </w:tblPr>
      <w:tblGrid>
        <w:gridCol w:w="3665"/>
        <w:gridCol w:w="60"/>
        <w:gridCol w:w="134"/>
        <w:gridCol w:w="1325"/>
        <w:gridCol w:w="75"/>
        <w:gridCol w:w="75"/>
        <w:gridCol w:w="254"/>
        <w:gridCol w:w="2075"/>
        <w:gridCol w:w="75"/>
      </w:tblGrid>
      <w:tr>
        <w:trPr/>
        <w:tc>
          <w:tcPr>
            <w:tcW w:w="366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Unopened hotels in pipeline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Midscale, upper-midscale hotels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19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834" w:type="dxa"/>
        <w:jc w:val="left"/>
        <w:tblInd w:w="0" w:type="dxa"/>
        <w:tblLayout w:type="fixed"/>
        <w:tblCellMar>
          <w:top w:w="0" w:type="dxa"/>
          <w:left w:w="0" w:type="dxa"/>
          <w:bottom w:w="0" w:type="dxa"/>
          <w:right w:w="0" w:type="dxa"/>
        </w:tblCellMar>
      </w:tblPr>
      <w:tblGrid>
        <w:gridCol w:w="2795"/>
        <w:gridCol w:w="60"/>
        <w:gridCol w:w="98"/>
        <w:gridCol w:w="626"/>
        <w:gridCol w:w="190"/>
        <w:gridCol w:w="61"/>
        <w:gridCol w:w="121"/>
        <w:gridCol w:w="768"/>
        <w:gridCol w:w="190"/>
        <w:gridCol w:w="61"/>
        <w:gridCol w:w="98"/>
        <w:gridCol w:w="626"/>
        <w:gridCol w:w="185"/>
        <w:gridCol w:w="60"/>
        <w:gridCol w:w="60"/>
        <w:gridCol w:w="635"/>
        <w:gridCol w:w="200"/>
      </w:tblGrid>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5"/>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daily room rate (in RMB)</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shd w:fill="CCEEFF" w:val="clear"/>
            <w:vAlign w:val="center"/>
          </w:tcPr>
          <w:p>
            <w:pPr>
              <w:pStyle w:val="TableContents"/>
              <w:bidi w:val="0"/>
              <w:spacing w:before="0" w:after="283"/>
              <w:jc w:val="left"/>
              <w:rPr>
                <w:rFonts w:eastAsia="Times New Roman;Times;Serif"/>
                <w:b w:val="false"/>
                <w:i/>
                <w:caps w:val="false"/>
                <w:smallCaps w:val="false"/>
                <w:sz w:val="20"/>
              </w:rPr>
            </w:pPr>
            <w:r>
              <w:rPr>
                <w:rFonts w:eastAsia="Times New Roman;Times;Serif"/>
                <w:b w:val="false"/>
                <w:i/>
                <w:caps w:val="false"/>
                <w:smallCaps w:val="false"/>
                <w:sz w:val="20"/>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shd w:fill="CCEEFF" w:val="clear"/>
            <w:vAlign w:val="center"/>
          </w:tcPr>
          <w:p>
            <w:pPr>
              <w:pStyle w:val="TableContents"/>
              <w:bidi w:val="0"/>
              <w:spacing w:before="0" w:after="283"/>
              <w:jc w:val="left"/>
              <w:rPr>
                <w:rFonts w:eastAsia="Times New Roman;Times;Serif"/>
                <w:b w:val="false"/>
                <w:i/>
                <w:caps w:val="false"/>
                <w:smallCaps w:val="false"/>
                <w:sz w:val="20"/>
              </w:rPr>
            </w:pPr>
            <w:r>
              <w:rPr>
                <w:rFonts w:eastAsia="Times New Roman;Times;Serif"/>
                <w:b w:val="false"/>
                <w:i/>
                <w:caps w:val="false"/>
                <w:smallCaps w:val="false"/>
                <w:sz w:val="20"/>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shd w:fill="CCEEFF" w:val="clear"/>
            <w:vAlign w:val="center"/>
          </w:tcPr>
          <w:p>
            <w:pPr>
              <w:pStyle w:val="TableContents"/>
              <w:bidi w:val="0"/>
              <w:spacing w:before="0" w:after="283"/>
              <w:jc w:val="left"/>
              <w:rPr>
                <w:rFonts w:eastAsia="Times New Roman;Times;Serif"/>
                <w:b w:val="false"/>
                <w:i/>
                <w:caps w:val="false"/>
                <w:smallCaps w:val="false"/>
                <w:sz w:val="20"/>
              </w:rPr>
            </w:pPr>
            <w:r>
              <w:rPr>
                <w:rFonts w:eastAsia="Times New Roman;Times;Serif"/>
                <w:b w:val="false"/>
                <w:i/>
                <w:caps w:val="false"/>
                <w:smallCaps w:val="false"/>
                <w:sz w:val="20"/>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Occupancy rate (as a percentage)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-1.2p.p.</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RevPAR (in RMB)</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Page 20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Same-hotel operational data by class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Mature hotels in operation for more than 18 months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22"/>
        <w:gridCol w:w="60"/>
        <w:gridCol w:w="525"/>
        <w:gridCol w:w="73"/>
        <w:gridCol w:w="73"/>
        <w:gridCol w:w="525"/>
        <w:gridCol w:w="60"/>
        <w:gridCol w:w="60"/>
        <w:gridCol w:w="501"/>
        <w:gridCol w:w="79"/>
        <w:gridCol w:w="79"/>
        <w:gridCol w:w="501"/>
        <w:gridCol w:w="60"/>
        <w:gridCol w:w="60"/>
        <w:gridCol w:w="530"/>
        <w:gridCol w:w="155"/>
        <w:gridCol w:w="60"/>
        <w:gridCol w:w="483"/>
        <w:gridCol w:w="76"/>
        <w:gridCol w:w="76"/>
        <w:gridCol w:w="483"/>
        <w:gridCol w:w="60"/>
        <w:gridCol w:w="60"/>
        <w:gridCol w:w="530"/>
        <w:gridCol w:w="155"/>
        <w:gridCol w:w="60"/>
        <w:gridCol w:w="457"/>
        <w:gridCol w:w="186"/>
        <w:gridCol w:w="72"/>
        <w:gridCol w:w="457"/>
        <w:gridCol w:w="155"/>
        <w:gridCol w:w="60"/>
        <w:gridCol w:w="530"/>
        <w:gridCol w:w="82"/>
      </w:tblGrid>
      <w:tr>
        <w:trPr/>
        <w:tc>
          <w:tcPr>
            <w:tcW w:w="2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6"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Same-hotel RevPAR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8"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Same-hotel ADR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7"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Same-hotel Occupancy</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6" w:type="dxa"/>
            <w:gridSpan w:val="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For the quarter </w:t>
              <w:br/>
              <w:t>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yoy </w:t>
              <w:br/>
              <w:t>change</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8"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quarter</w:t>
              <w:br/>
              <w:t>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yoy </w:t>
              <w:br/>
              <w:t>change</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For the quarter </w:t>
              <w:br/>
              <w:t>ended</w:t>
              <w:br/>
              <w:t>June 30,</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yoy </w:t>
              <w:br/>
              <w:t>change</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8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(p.p.)</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Economy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4,561</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83.5</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4,344</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83.3</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Midscale, upper-midscale hotels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5,002</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81.4</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373</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451</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82.7</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4,754</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81.3</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9,563</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82.3</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Page 21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Operating Results: HWI</w:t>
      </w:r>
      <w:r>
        <w:rPr>
          <w:rFonts w:ascii="Times New Roman;Times;Serif" w:hAnsi="Times New Roman;Times;Serif"/>
          <w:b/>
          <w:i/>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2"/>
        <w:gridCol w:w="60"/>
        <w:gridCol w:w="283"/>
        <w:gridCol w:w="592"/>
        <w:gridCol w:w="62"/>
        <w:gridCol w:w="62"/>
        <w:gridCol w:w="208"/>
        <w:gridCol w:w="648"/>
        <w:gridCol w:w="82"/>
        <w:gridCol w:w="62"/>
        <w:gridCol w:w="271"/>
        <w:gridCol w:w="570"/>
        <w:gridCol w:w="62"/>
        <w:gridCol w:w="62"/>
        <w:gridCol w:w="191"/>
        <w:gridCol w:w="1068"/>
        <w:gridCol w:w="60"/>
        <w:gridCol w:w="60"/>
        <w:gridCol w:w="122"/>
        <w:gridCol w:w="1182"/>
        <w:gridCol w:w="60"/>
        <w:gridCol w:w="60"/>
        <w:gridCol w:w="401"/>
        <w:gridCol w:w="1551"/>
        <w:gridCol w:w="84"/>
      </w:tblGrid>
      <w:tr>
        <w:trPr/>
        <w:tc>
          <w:tcPr>
            <w:tcW w:w="2342"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2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rooms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Unopened hotels in pipeline</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2"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Opened</w:t>
              <w:br/>
              <w:t>in Q2 2026</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85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Closed</w:t>
              <w:br/>
              <w:t>in Q2 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84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added</w:t>
              <w:br/>
              <w:t>in Q2 2026</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5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 xml:space="preserve">June 30, 2026 </w:t>
            </w:r>
            <w:r>
              <w:rPr>
                <w:rFonts w:ascii="Times New Roman;Times;Serif" w:hAnsi="Times New Roman;Times;Serif"/>
                <w:b/>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 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HWI refers to H World International, which includes all hotels operating outside China.</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As of June 30, 2026, one hotel was temporarily closed due to repair and renovation.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22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4" w:type="dxa"/>
        <w:jc w:val="left"/>
        <w:tblInd w:w="0" w:type="dxa"/>
        <w:tblLayout w:type="fixed"/>
        <w:tblCellMar>
          <w:top w:w="0" w:type="dxa"/>
          <w:left w:w="0" w:type="dxa"/>
          <w:bottom w:w="0" w:type="dxa"/>
          <w:right w:w="0" w:type="dxa"/>
        </w:tblCellMar>
      </w:tblPr>
      <w:tblGrid>
        <w:gridCol w:w="2945"/>
        <w:gridCol w:w="60"/>
        <w:gridCol w:w="98"/>
        <w:gridCol w:w="626"/>
        <w:gridCol w:w="190"/>
        <w:gridCol w:w="61"/>
        <w:gridCol w:w="121"/>
        <w:gridCol w:w="768"/>
        <w:gridCol w:w="190"/>
        <w:gridCol w:w="61"/>
        <w:gridCol w:w="98"/>
        <w:gridCol w:w="626"/>
        <w:gridCol w:w="185"/>
        <w:gridCol w:w="60"/>
        <w:gridCol w:w="60"/>
        <w:gridCol w:w="725"/>
        <w:gridCol w:w="20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(In constant $)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daily room rate (in US$)</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Occupancy rate (as a percentage)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-7.4p.p.</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RevPAR (in US$)</w:t>
            </w:r>
            <w:r>
              <w:rPr>
                <w:rFonts w:ascii="Times New Roman;Times;Serif" w:hAnsi="Times New Roman;Times;Serif"/>
                <w:b/>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tab/>
        <w:t>Period comparisons of hotel operating statistics are presented on a constant U.S. dollar basis, which is calculated by applying current-period quarterly average exchange rates to the prior comparable period.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sz w:val="20"/>
          <w:bdr w:val="single" w:sz="8" w:space="1" w:color="000000"/>
        </w:rPr>
      </w:pPr>
      <w:r>
        <w:rPr>
          <w:sz w:val="20"/>
          <w:bdr w:val="single" w:sz="8" w:space="1" w:color="000000"/>
        </w:rPr>
        <w:t>Page 23 of 24</w:t>
      </w:r>
    </w:p>
    <w:tbl>
      <w:tblPr>
        <w:tblW w:w="1575" w:type="dxa"/>
        <w:jc w:val="left"/>
        <w:tblInd w:w="0" w:type="dxa"/>
        <w:tblLayout w:type="fixed"/>
        <w:tblCellMar>
          <w:top w:w="0" w:type="dxa"/>
          <w:left w:w="0" w:type="dxa"/>
          <w:bottom w:w="28" w:type="dxa"/>
          <w:right w:w="0" w:type="dxa"/>
        </w:tblCellMar>
      </w:tblPr>
      <w:tblGrid>
        <w:gridCol w:w="1575"/>
      </w:tblGrid>
      <w:tr>
        <w:trPr/>
        <w:tc>
          <w:tcPr>
            <w:tcW w:w="1575" w:type="dxa"/>
            <w:tcBorders>
              <w:bottom w:val="single" w:sz="8" w:space="0" w:color="000000"/>
            </w:tcBorders>
            <w:vAlign w:val="center"/>
          </w:tcPr>
          <w:p>
            <w:pPr>
              <w:pStyle w:val="TableContents"/>
              <w:bidi w:val="0"/>
              <w:spacing w:before="0" w:after="283"/>
              <w:jc w:val="center"/>
              <w:rPr/>
            </w:pPr>
            <w:r>
              <w:rPr/>
              <w:drawing>
                <wp:inline distT="0" distB="0" distL="0" distR="0">
                  <wp:extent cx="981075" cy="428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81075" cy="4286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Hotel Portfolio by Brand</w:t>
      </w:r>
    </w:p>
    <w:p>
      <w:pPr>
        <w:pStyle w:val="TextBody"/>
        <w:bidi w:val="0"/>
        <w:spacing w:before="0" w:after="0"/>
        <w:ind w:left="0" w:right="0" w:hanging="0"/>
        <w:jc w:val="left"/>
        <w:rPr>
          <w:caps w:val="false"/>
          <w:smallCaps w:val="false"/>
        </w:rPr>
      </w:pPr>
      <w:r>
        <w:rPr>
          <w:caps w:val="false"/>
          <w:smallCaps w:val="false"/>
        </w:rPr>
        <w:t> </w:t>
      </w:r>
    </w:p>
    <w:tbl>
      <w:tblPr>
        <w:tblW w:w="6109" w:type="dxa"/>
        <w:jc w:val="left"/>
        <w:tblInd w:w="0" w:type="dxa"/>
        <w:tblLayout w:type="fixed"/>
        <w:tblCellMar>
          <w:top w:w="0" w:type="dxa"/>
          <w:left w:w="0" w:type="dxa"/>
          <w:bottom w:w="0" w:type="dxa"/>
          <w:right w:w="0" w:type="dxa"/>
        </w:tblCellMar>
      </w:tblPr>
      <w:tblGrid>
        <w:gridCol w:w="2780"/>
        <w:gridCol w:w="60"/>
        <w:gridCol w:w="60"/>
        <w:gridCol w:w="590"/>
        <w:gridCol w:w="60"/>
        <w:gridCol w:w="60"/>
        <w:gridCol w:w="60"/>
        <w:gridCol w:w="845"/>
        <w:gridCol w:w="60"/>
        <w:gridCol w:w="60"/>
        <w:gridCol w:w="153"/>
        <w:gridCol w:w="1246"/>
        <w:gridCol w:w="75"/>
      </w:tblGrid>
      <w:tr>
        <w:trPr/>
        <w:tc>
          <w:tcPr>
            <w:tcW w:w="278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Unopened hotels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operation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pipeline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513,260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HanTing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408,636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NiHao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Inn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Elan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Ibis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Zleep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Midscale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434,656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Orange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Starway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Ibis Styles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Upper midscale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171,602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Crystal Orange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IntercityHotel</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JI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CitiGO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Manxin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Madison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Mercure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Novotel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MAXX Hotel</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Upscale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Blossom House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Joya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Mercure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Steigenberger Hotels &amp; Resorts</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Jaz in the City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Luxury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Steigenberger Icons</w:t>
            </w:r>
            <w:r>
              <w:rPr>
                <w:rFonts w:ascii="Times New Roman;Times;Serif" w:hAnsi="Times New Roman;Times;Serif"/>
                <w:b w:val="false"/>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Song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hotels</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1,335,445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i/>
              </w:rPr>
            </w:pPr>
            <w:r>
              <w:rPr>
                <w:i/>
              </w:rPr>
              <w:t>(5)</w:t>
            </w:r>
          </w:p>
        </w:tc>
        <w:tc>
          <w:tcPr>
            <w:tcW w:w="9877" w:type="dxa"/>
            <w:tcBorders/>
            <w:vAlign w:val="center"/>
          </w:tcPr>
          <w:p>
            <w:pPr>
              <w:pStyle w:val="TableContents"/>
              <w:bidi w:val="0"/>
              <w:spacing w:before="0" w:after="283"/>
              <w:jc w:val="both"/>
              <w:rPr>
                <w:i/>
              </w:rPr>
            </w:pPr>
            <w:r>
              <w:rPr>
                <w:i/>
              </w:rPr>
              <w:t>As of June 30, 2026, 139 operational hotels and 104 pipeline hotels of IntercityHotel were under HWC.</w:t>
            </w:r>
          </w:p>
        </w:tc>
      </w:tr>
    </w:tbl>
    <w:tbl>
      <w:tblPr>
        <w:tblW w:w="5000" w:type="pct"/>
        <w:jc w:val="left"/>
        <w:tblInd w:w="0" w:type="dxa"/>
        <w:tblLayout w:type="fixed"/>
        <w:tblCellMar>
          <w:top w:w="0" w:type="dxa"/>
          <w:left w:w="0" w:type="dxa"/>
          <w:bottom w:w="0" w:type="dxa"/>
          <w:right w:w="0" w:type="dxa"/>
        </w:tblCellMar>
      </w:tblPr>
      <w:tblGrid>
        <w:gridCol w:w="42"/>
        <w:gridCol w:w="328"/>
        <w:gridCol w:w="9835"/>
      </w:tblGrid>
      <w:tr>
        <w:trPr/>
        <w:tc>
          <w:tcPr>
            <w:tcW w:w="4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i/>
              </w:rPr>
            </w:pPr>
            <w:r>
              <w:rPr>
                <w:i/>
              </w:rPr>
              <w:t>(6)</w:t>
            </w:r>
          </w:p>
        </w:tc>
        <w:tc>
          <w:tcPr>
            <w:tcW w:w="9835" w:type="dxa"/>
            <w:tcBorders/>
            <w:vAlign w:val="center"/>
          </w:tcPr>
          <w:p>
            <w:pPr>
              <w:pStyle w:val="TableContents"/>
              <w:bidi w:val="0"/>
              <w:spacing w:before="0" w:after="283"/>
              <w:jc w:val="both"/>
              <w:rPr>
                <w:i/>
              </w:rPr>
            </w:pPr>
            <w:r>
              <w:rPr>
                <w:i/>
              </w:rPr>
              <w:t>As of June 30, 2026, 5 operational hotels and 7 pipeline hotels of MAXX were under HWC.</w:t>
            </w:r>
          </w:p>
        </w:tc>
      </w:tr>
    </w:tbl>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i/>
              </w:rPr>
            </w:pPr>
            <w:r>
              <w:rPr>
                <w:i/>
              </w:rPr>
              <w:t>(7)</w:t>
            </w:r>
          </w:p>
        </w:tc>
        <w:tc>
          <w:tcPr>
            <w:tcW w:w="9889" w:type="dxa"/>
            <w:tcBorders/>
            <w:vAlign w:val="center"/>
          </w:tcPr>
          <w:p>
            <w:pPr>
              <w:pStyle w:val="TableContents"/>
              <w:bidi w:val="0"/>
              <w:spacing w:before="0" w:after="283"/>
              <w:jc w:val="both"/>
              <w:rPr>
                <w:i/>
              </w:rPr>
            </w:pPr>
            <w:r>
              <w:rPr>
                <w:i/>
              </w:rPr>
              <w:t>As of June 30, 2026, 14 operational hotels and 8 pipeline hotels of Steigenberger Hotels &amp; Resorts were under HWC.</w:t>
            </w:r>
          </w:p>
        </w:tc>
      </w:tr>
    </w:tbl>
    <w:tbl>
      <w:tblPr>
        <w:tblW w:w="5000" w:type="pct"/>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i/>
              </w:rPr>
            </w:pPr>
            <w:r>
              <w:rPr>
                <w:i/>
              </w:rPr>
              <w:t>(8)</w:t>
            </w:r>
          </w:p>
        </w:tc>
        <w:tc>
          <w:tcPr>
            <w:tcW w:w="9874" w:type="dxa"/>
            <w:tcBorders/>
            <w:vAlign w:val="center"/>
          </w:tcPr>
          <w:p>
            <w:pPr>
              <w:pStyle w:val="TableContents"/>
              <w:bidi w:val="0"/>
              <w:spacing w:before="0" w:after="283"/>
              <w:jc w:val="both"/>
              <w:rPr>
                <w:i/>
              </w:rPr>
            </w:pPr>
            <w:r>
              <w:rPr>
                <w:i/>
              </w:rPr>
              <w:t>As of June 30, 2026, 5 operational hotels and 1 pipeline hotel of Steigenberger Icon were under HWC.</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i/>
              </w:rPr>
            </w:pPr>
            <w:r>
              <w:rPr>
                <w:i/>
              </w:rPr>
              <w:t>(9)</w:t>
            </w:r>
          </w:p>
        </w:tc>
        <w:tc>
          <w:tcPr>
            <w:tcW w:w="9911" w:type="dxa"/>
            <w:tcBorders/>
            <w:vAlign w:val="center"/>
          </w:tcPr>
          <w:p>
            <w:pPr>
              <w:pStyle w:val="TableContents"/>
              <w:bidi w:val="0"/>
              <w:spacing w:before="0" w:after="283"/>
              <w:jc w:val="both"/>
              <w:rPr>
                <w:i/>
              </w:rPr>
            </w:pPr>
            <w:r>
              <w:rPr>
                <w:i/>
              </w:rPr>
              <w:t>Other hotels include other partner hotels and other hotel brands in Yongle Huazhu Hotel &amp; Resort Group (excluding Steigenberger Hotels &amp; Resorts and Blossom House).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24 of 24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8436</Words>
  <Characters>42443</Characters>
  <CharactersWithSpaces>52643</CharactersWithSpaces>
  <Paragraphs>6157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