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62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62534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Zheng Jie</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7"/>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 World Group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HTHT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2C2C2C"/>
            </w:tcBorders>
            <w:gridSpan w:val="7"/>
            <w:vMerge w:val="restart"/>
          </w:tcPr>
          <w:p>
            <w:pPr>
              <w:ind w:left="60"/>
              <w:spacing w:after="0" w:line="146" w:lineRule="exact"/>
              <w:rPr>
                <w:sz w:val="20"/>
                <w:szCs w:val="20"/>
                <w:color w:val="auto"/>
              </w:rPr>
            </w:pPr>
            <w:r>
              <w:rPr>
                <w:rFonts w:ascii="Arial" w:cs="Arial" w:eastAsia="Arial" w:hAnsi="Arial"/>
                <w:sz w:val="13"/>
                <w:szCs w:val="13"/>
                <w:color w:val="auto"/>
              </w:rPr>
              <w:t>3. Date of Earliest Transaction (Month/Day/Year)</w:t>
            </w:r>
          </w:p>
        </w:tc>
        <w:tc>
          <w:tcPr>
            <w:tcW w:w="600" w:type="dxa"/>
            <w:vAlign w:val="bottom"/>
            <w:tcBorders>
              <w:top w:val="single" w:sz="8" w:color="2C2C2C"/>
            </w:tcBorders>
          </w:tcPr>
          <w:p>
            <w:pPr>
              <w:spacing w:after="0" w:line="20" w:lineRule="exact"/>
              <w:rPr>
                <w:sz w:val="1"/>
                <w:szCs w:val="1"/>
                <w:color w:val="auto"/>
              </w:rPr>
            </w:pPr>
          </w:p>
        </w:tc>
        <w:tc>
          <w:tcPr>
            <w:tcW w:w="200" w:type="dxa"/>
            <w:vAlign w:val="bottom"/>
            <w:tcBorders>
              <w:top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7"/>
            <w:vMerge w:val="continue"/>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200"/>
              <w:spacing w:after="0" w:line="12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05/14/2026</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NO. 1299 FENGHUA ROAD</w:t>
            </w:r>
          </w:p>
        </w:tc>
        <w:tc>
          <w:tcPr>
            <w:tcW w:w="102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2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SHANGHAI</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w w:val="94"/>
              </w:rPr>
              <w:t>F4</w:t>
            </w:r>
          </w:p>
        </w:tc>
        <w:tc>
          <w:tcPr>
            <w:tcW w:w="102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201803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gridSpan w:val="4"/>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20" w:type="dxa"/>
            <w:vAlign w:val="bottom"/>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jc w:val="center"/>
              <w:ind w:righ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5"/>
          </w:tcPr>
          <w:p>
            <w:pPr>
              <w:ind w:left="940"/>
              <w:spacing w:after="0"/>
              <w:rPr>
                <w:sz w:val="20"/>
                <w:szCs w:val="20"/>
                <w:color w:val="auto"/>
              </w:rPr>
            </w:pPr>
            <w:r>
              <w:rPr>
                <w:rFonts w:ascii="Times New Roman" w:cs="Times New Roman" w:eastAsia="Times New Roman" w:hAnsi="Times New Roman"/>
                <w:sz w:val="16"/>
                <w:szCs w:val="16"/>
                <w:color w:val="0000FF"/>
              </w:rPr>
              <w:t>05/15/2026</w:t>
            </w: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color w:val="0000FF"/>
                <w:w w:val="99"/>
              </w:rPr>
              <w:t>307,850</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373,090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8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6"/>
                <w:szCs w:val="16"/>
                <w:color w:val="0000FF"/>
              </w:rPr>
              <w:t>63,000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ind w:right="197"/>
              <w:spacing w:after="0" w:line="138" w:lineRule="exact"/>
              <w:rPr>
                <w:sz w:val="20"/>
                <w:szCs w:val="20"/>
                <w:color w:val="auto"/>
              </w:rPr>
            </w:pPr>
            <w:r>
              <w:rPr>
                <w:rFonts w:ascii="Times New Roman" w:cs="Times New Roman" w:eastAsia="Times New Roman" w:hAnsi="Times New Roman"/>
                <w:sz w:val="13"/>
                <w:szCs w:val="13"/>
                <w:color w:val="0000FF"/>
              </w:rPr>
              <w:t>05/14/2026</w:t>
            </w:r>
          </w:p>
        </w:tc>
        <w:tc>
          <w:tcPr>
            <w:tcW w:w="1020" w:type="dxa"/>
            <w:vAlign w:val="bottom"/>
          </w:tcPr>
          <w:p>
            <w:pPr>
              <w:spacing w:after="0"/>
              <w:rPr>
                <w:sz w:val="5"/>
                <w:szCs w:val="5"/>
                <w:color w:val="auto"/>
              </w:rPr>
            </w:pPr>
          </w:p>
        </w:tc>
        <w:tc>
          <w:tcPr>
            <w:tcW w:w="80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63,000</w:t>
            </w:r>
          </w:p>
        </w:tc>
        <w:tc>
          <w:tcPr>
            <w:tcW w:w="6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164"/>
              <w:spacing w:after="0" w:line="138" w:lineRule="exact"/>
              <w:rPr>
                <w:sz w:val="20"/>
                <w:szCs w:val="20"/>
                <w:color w:val="auto"/>
              </w:rPr>
            </w:pPr>
            <w:r>
              <w:rPr>
                <w:rFonts w:ascii="Times New Roman" w:cs="Times New Roman" w:eastAsia="Times New Roman" w:hAnsi="Times New Roman"/>
                <w:sz w:val="13"/>
                <w:szCs w:val="13"/>
                <w:color w:val="0000FF"/>
              </w:rPr>
              <w:t>307,850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color w:val="0000FF"/>
                <w:w w:val="92"/>
              </w:rPr>
              <w:t>Shares</w:t>
            </w:r>
          </w:p>
        </w:tc>
        <w:tc>
          <w:tcPr>
            <w:tcW w:w="6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vMerge w:val="restart"/>
          </w:tcPr>
          <w:p>
            <w:pPr>
              <w:jc w:val="right"/>
              <w:ind w:right="217"/>
              <w:spacing w:after="0"/>
              <w:rPr>
                <w:sz w:val="20"/>
                <w:szCs w:val="20"/>
                <w:color w:val="auto"/>
              </w:rPr>
            </w:pPr>
            <w:r>
              <w:rPr>
                <w:rFonts w:ascii="Times New Roman" w:cs="Times New Roman" w:eastAsia="Times New Roman" w:hAnsi="Times New Roman"/>
                <w:sz w:val="10"/>
                <w:szCs w:val="10"/>
                <w:color w:val="008000"/>
              </w:rPr>
              <w:t>(4)(5)</w:t>
            </w: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(4)(5)</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307,850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ind w:right="197"/>
              <w:spacing w:after="0" w:line="126" w:lineRule="exact"/>
              <w:rPr>
                <w:sz w:val="20"/>
                <w:szCs w:val="20"/>
                <w:color w:val="auto"/>
              </w:rPr>
            </w:pPr>
            <w:r>
              <w:rPr>
                <w:rFonts w:ascii="Times New Roman" w:cs="Times New Roman" w:eastAsia="Times New Roman" w:hAnsi="Times New Roman"/>
                <w:sz w:val="13"/>
                <w:szCs w:val="13"/>
                <w:color w:val="0000FF"/>
              </w:rPr>
              <w:t>05/15/2026</w:t>
            </w:r>
          </w:p>
        </w:tc>
        <w:tc>
          <w:tcPr>
            <w:tcW w:w="1020" w:type="dxa"/>
            <w:vAlign w:val="bottom"/>
          </w:tcPr>
          <w:p>
            <w:pPr>
              <w:spacing w:after="0"/>
              <w:rPr>
                <w:sz w:val="10"/>
                <w:szCs w:val="10"/>
                <w:color w:val="auto"/>
              </w:rPr>
            </w:pPr>
          </w:p>
        </w:tc>
        <w:tc>
          <w:tcPr>
            <w:tcW w:w="800" w:type="dxa"/>
            <w:vAlign w:val="bottom"/>
            <w:gridSpan w:val="4"/>
          </w:tcPr>
          <w:p>
            <w:pPr>
              <w:ind w:left="1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0"/>
                <w:szCs w:val="10"/>
                <w:color w:val="auto"/>
              </w:rPr>
            </w:pPr>
          </w:p>
        </w:tc>
        <w:tc>
          <w:tcPr>
            <w:tcW w:w="60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307,850</w:t>
            </w:r>
          </w:p>
        </w:tc>
        <w:tc>
          <w:tcPr>
            <w:tcW w:w="7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42"/>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60"/>
              <w:spacing w:after="0" w:line="138" w:lineRule="exact"/>
              <w:rPr>
                <w:sz w:val="20"/>
                <w:szCs w:val="20"/>
                <w:color w:val="auto"/>
              </w:rPr>
            </w:pPr>
            <w:r>
              <w:rPr>
                <w:rFonts w:ascii="Times New Roman" w:cs="Times New Roman" w:eastAsia="Times New Roman" w:hAnsi="Times New Roman"/>
                <w:sz w:val="13"/>
                <w:szCs w:val="13"/>
                <w:color w:val="0000FF"/>
                <w:w w:val="92"/>
              </w:rPr>
              <w:t>Shares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-1978025</wp:posOffset>
            </wp:positionV>
            <wp:extent cx="28575" cy="1983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8310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share units that vested and settled into ordinary shares.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the right to receive one ordinary share.</w:t>
      </w:r>
    </w:p>
    <w:p>
      <w:pPr>
        <w:spacing w:after="0" w:line="38"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restricted share units were granted on May 14, 2026 and were scheduled to vest in five installments, with 50% on the second anniversary of the vesting start date and 1/8 on the last day of each succeeding six-month period, ending on January 1, 2030.</w:t>
      </w:r>
    </w:p>
    <w:p>
      <w:pPr>
        <w:spacing w:after="0" w:line="21" w:lineRule="exact"/>
        <w:rPr>
          <w:rFonts w:ascii="Times New Roman" w:cs="Times New Roman" w:eastAsia="Times New Roman" w:hAnsi="Times New Roman"/>
          <w:sz w:val="13"/>
          <w:szCs w:val="13"/>
          <w:color w:val="008000"/>
        </w:rPr>
      </w:pPr>
    </w:p>
    <w:p>
      <w:pPr>
        <w:jc w:val="both"/>
        <w:ind w:left="40" w:right="180" w:hanging="2"/>
        <w:spacing w:after="0" w:line="235"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15, 2026, the Reporting Person informed the board of directors of the Issuer (the "Board") her intention to resign from the Board, effective immediately (the "Resignation"). Pursuant to the agreement dated May 15, 2026 between the Issuer and the Reporting Person, immediately prior to the effectiveness of the Resignation, all restricted share units previously granted to the Reporting Person that remained outstanding and unvested as of such time, totaling 307,850 restricted share units, were accelerated and became fully vested on a one-time basis.</w:t>
      </w:r>
    </w:p>
    <w:p>
      <w:pPr>
        <w:spacing w:after="0" w:line="24"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307,850 restricted share units include: (i) 79,110 restricted share units granted on June 28, 2024, which were previously reported on the Form 3 filed by the Reporting Person on March 16, 2026; (ii) 157,740 restricted share units granted on March 31, 2026, which were previously reported on the Form 4 filed by the Reporting Person on April 1, 2026; (iii) 8,000 restricted share units granted on March 31, 2026, which were previously reported on the Form 4 filed by the Reporting Person on April 1, 2026; and (iv) 63,000 restricted share units granted on May 14, 2026, which are reported on this Form 4.</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Fan You, Attorney-in-Fact for </w:t>
      </w:r>
      <w:r>
        <w:rPr>
          <w:rFonts w:ascii="Times New Roman" w:cs="Times New Roman" w:eastAsia="Times New Roman" w:hAnsi="Times New Roman"/>
          <w:sz w:val="31"/>
          <w:szCs w:val="31"/>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Jie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05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513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71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9328" TargetMode="External"/><Relationship Id="rId14" Type="http://schemas.openxmlformats.org/officeDocument/2006/relationships/hyperlink" Target="http://www.sec.gov/cgi-bin/browse-edgar?action=getcompany&amp;CIK=0001483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2026-05-18T06:53:11Z</dcterms:created>
  <dcterms:modified xsi:type="dcterms:W3CDTF">2026-05-18T06:53:11Z</dcterms:modified>
</cp:coreProperties>
</file>