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center"/>
        <w:rPr/>
      </w:pPr>
      <w:bookmarkStart w:id="0" w:name="htht-20260923x6k.htm"/>
      <w:bookmarkStart w:id="1" w:name="kshtht20260923x6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rPr>
          <w:rFonts w:ascii="Times New Roman;Times;serif" w:hAnsi="Times New Roman;Times;serif"/>
          <w:b/>
          <w:sz w:val="36"/>
        </w:rPr>
      </w:pPr>
      <w:r>
        <w:rPr>
          <w:rFonts w:ascii="Times New Roman;Times;serif" w:hAnsi="Times New Roman;Times;serif"/>
          <w:b/>
          <w:sz w:val="36"/>
        </w:rPr>
        <w:t>FORM 6-K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SECURITIES EXCHANGE ACT OF 1934</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b/>
          <w:sz w:val="20"/>
        </w:rPr>
        <w:t>For the month of September</w:t>
      </w:r>
      <w:r>
        <w:rPr>
          <w:rFonts w:ascii="Times New Roman;Times;serif" w:hAnsi="Times New Roman;Times;serif"/>
          <w:sz w:val="20"/>
        </w:rPr>
        <w:t xml:space="preserve"> </w:t>
      </w:r>
      <w:r>
        <w:rPr>
          <w:rFonts w:ascii="Times New Roman;Times;serif" w:hAnsi="Times New Roman;Times;serif"/>
          <w:b/>
          <w:sz w:val="20"/>
        </w:rPr>
        <w:t>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Commission File Number: 001-34656</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H World Group Limited</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(Registrant’s name)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 1299 Fenghua Road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Jiading District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Shanghai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People’s Republic of China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(86) 21 6195-2011</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files or will file annual reports under cover of Form 20-F or Form 40-F. Form 20-F ☒  Form 40-F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Indicate by check mark if the registrant is submitting the Form 6-K in paper as permitted by Regulation S-T Rule 101(b) (1):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if the registrant is submitting the Form 6-K in paper as permitted by Regulation S-T Rule 101(b) (7): ☐</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EXPLANATORY NOTE</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This report on Form 6-K, including Exhibit 99.1 hereto, is hereby incorporated by reference into the registrant’s Registration Statement on Form F-3, as amended, initially filed with the U.S. Securities and Exchange Commission on July 17, 2024 (Registration No. 333-280844), and shall be a part thereof from the date on which this current report is furnished, to the extent not superseded by documents or reports subsequently filed or furnished.</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36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90"/>
        <w:gridCol w:w="346"/>
        <w:gridCol w:w="8869"/>
      </w:tblGrid>
      <w:tr>
        <w:trPr/>
        <w:tc>
          <w:tcPr>
            <w:tcW w:w="9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28650" cy="175260"/>
                      <wp:effectExtent l="0" t="0" r="0" b="0"/>
                      <wp:wrapNone/>
                      <wp:docPr id="1" name="Frame1"/>
                      <a:graphic xmlns:a="http://schemas.openxmlformats.org/drawingml/2006/main">
                        <a:graphicData uri="http://schemas.microsoft.com/office/word/2010/wordprocessingShape">
                          <wps:wsp>
                            <wps:cNvSpPr txBox="1"/>
                            <wps:spPr>
                              <a:xfrm>
                                <a:off x="0" y="0"/>
                                <a:ext cx="628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8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631815" cy="175260"/>
                      <wp:effectExtent l="0" t="0" r="0" b="0"/>
                      <wp:wrapNone/>
                      <wp:docPr id="2" name="Frame2"/>
                      <a:graphic xmlns:a="http://schemas.openxmlformats.org/drawingml/2006/main">
                        <a:graphicData uri="http://schemas.microsoft.com/office/word/2010/wordprocessingShape">
                          <wps:wsp>
                            <wps:cNvSpPr txBox="1"/>
                            <wps:spPr>
                              <a:xfrm>
                                <a:off x="0" y="0"/>
                                <a:ext cx="563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90"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Number</w:t>
            </w:r>
          </w:p>
        </w:tc>
        <w:tc>
          <w:tcPr>
            <w:tcW w:w="346" w:type="dxa"/>
            <w:tcBorders/>
            <w:vAlign w:val="center"/>
          </w:tcPr>
          <w:p>
            <w:pPr>
              <w:pStyle w:val="TableContents"/>
              <w:bidi w:val="0"/>
              <w:spacing w:before="0" w:after="0"/>
              <w:ind w:left="0" w:right="0" w:hanging="0"/>
              <w:jc w:val="left"/>
              <w:rPr/>
            </w:pPr>
            <w:r>
              <w:rPr/>
              <w:t>  ​ ​ ​</w:t>
            </w:r>
          </w:p>
        </w:tc>
        <w:tc>
          <w:tcPr>
            <w:tcW w:w="8869"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 of Document</w:t>
            </w:r>
          </w:p>
        </w:tc>
      </w:tr>
      <w:tr>
        <w:trPr/>
        <w:tc>
          <w:tcPr>
            <w:tcW w:w="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99.1</w:t>
            </w:r>
          </w:p>
        </w:tc>
        <w:tc>
          <w:tcPr>
            <w:tcW w:w="346" w:type="dxa"/>
            <w:tcBorders/>
            <w:vAlign w:val="center"/>
          </w:tcPr>
          <w:p>
            <w:pPr>
              <w:pStyle w:val="TableContents"/>
              <w:bidi w:val="0"/>
              <w:spacing w:before="0" w:after="0"/>
              <w:ind w:left="0" w:right="0" w:hanging="0"/>
              <w:jc w:val="left"/>
              <w:rPr/>
            </w:pPr>
            <w:r>
              <w:rPr/>
              <w:t>​</w:t>
            </w:r>
          </w:p>
        </w:tc>
        <w:tc>
          <w:tcPr>
            <w:tcW w:w="8869" w:type="dxa"/>
            <w:tcBorders/>
            <w:vAlign w:val="center"/>
          </w:tcPr>
          <w:p>
            <w:pPr>
              <w:pStyle w:val="TableContents"/>
              <w:bidi w:val="0"/>
              <w:spacing w:before="0" w:after="0"/>
              <w:ind w:left="0" w:right="0" w:hanging="0"/>
              <w:jc w:val="left"/>
              <w:rPr/>
            </w:pPr>
            <w:hyperlink w:anchor="htht-20260923xex99d1.htm">
              <w:r>
                <w:rPr>
                  <w:rStyle w:val="InternetLink"/>
                  <w:rFonts w:ascii="Times New Roman;Times;serif" w:hAnsi="Times New Roman;Times;serif"/>
                  <w:b w:val="false"/>
                  <w:i w:val="false"/>
                  <w:caps w:val="false"/>
                  <w:smallCaps w:val="false"/>
                  <w:sz w:val="20"/>
                </w:rPr>
                <w:t>Unaudited Condensed Consolidated Financial Statements for the Six Months Ended June 30, 2025 and 2026</w:t>
              </w:r>
            </w:hyperlink>
          </w:p>
        </w:tc>
      </w:tr>
      <w:tr>
        <w:trPr/>
        <w:tc>
          <w:tcPr>
            <w:tcW w:w="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88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Instance Document — the instance document does not appear in the Interactive Data File because its XBRL tags are embedded within the Inline XBRL document</w:t>
            </w:r>
          </w:p>
        </w:tc>
      </w:tr>
      <w:tr>
        <w:trPr/>
        <w:tc>
          <w:tcPr>
            <w:tcW w:w="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88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w:t>
            </w:r>
          </w:p>
        </w:tc>
        <w:tc>
          <w:tcPr>
            <w:tcW w:w="88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Calculation Linkbase Document</w:t>
            </w:r>
          </w:p>
        </w:tc>
      </w:tr>
      <w:tr>
        <w:trPr/>
        <w:tc>
          <w:tcPr>
            <w:tcW w:w="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88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w:t>
            </w:r>
          </w:p>
        </w:tc>
        <w:tc>
          <w:tcPr>
            <w:tcW w:w="88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Label Linkbase Document</w:t>
            </w:r>
          </w:p>
        </w:tc>
      </w:tr>
      <w:tr>
        <w:trPr/>
        <w:tc>
          <w:tcPr>
            <w:tcW w:w="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88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Presentation Linkbase Document</w:t>
            </w:r>
          </w:p>
        </w:tc>
      </w:tr>
      <w:tr>
        <w:trPr/>
        <w:tc>
          <w:tcPr>
            <w:tcW w:w="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88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36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6708" w:type="dxa"/>
        <w:jc w:val="left"/>
        <w:tblInd w:w="0" w:type="dxa"/>
        <w:tblLayout w:type="fixed"/>
        <w:tblCellMar>
          <w:top w:w="0" w:type="dxa"/>
          <w:left w:w="0" w:type="dxa"/>
          <w:bottom w:w="0" w:type="dxa"/>
          <w:right w:w="0" w:type="dxa"/>
        </w:tblCellMar>
      </w:tblPr>
      <w:tblGrid>
        <w:gridCol w:w="2221"/>
        <w:gridCol w:w="631"/>
        <w:gridCol w:w="3856"/>
      </w:tblGrid>
      <w:tr>
        <w:trPr/>
        <w:tc>
          <w:tcPr>
            <w:tcW w:w="22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8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 World Group Limited</w:t>
            </w:r>
          </w:p>
        </w:tc>
      </w:tr>
      <w:tr>
        <w:trPr/>
        <w:tc>
          <w:tcPr>
            <w:tcW w:w="22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8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w:t>
            </w:r>
          </w:p>
        </w:tc>
      </w:tr>
      <w:tr>
        <w:trPr/>
        <w:tc>
          <w:tcPr>
            <w:tcW w:w="22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856" w:type="dxa"/>
            <w:tcBorders/>
            <w:vAlign w:val="center"/>
          </w:tcPr>
          <w:p>
            <w:pPr>
              <w:pStyle w:val="TableContents"/>
              <w:bidi w:val="0"/>
              <w:spacing w:before="0" w:after="0"/>
              <w:ind w:left="0" w:right="0" w:hanging="0"/>
              <w:jc w:val="left"/>
              <w:rPr/>
            </w:pPr>
            <w:r>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23,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Qi Ji</w:t>
            </w:r>
          </w:p>
        </w:tc>
      </w:tr>
      <w:tr>
        <w:trPr/>
        <w:tc>
          <w:tcPr>
            <w:tcW w:w="22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Qi Ji</w:t>
            </w:r>
          </w:p>
        </w:tc>
      </w:tr>
      <w:tr>
        <w:trPr/>
        <w:tc>
          <w:tcPr>
            <w:tcW w:w="222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Chairman of the Board of Directors</w:t>
            </w:r>
          </w:p>
        </w:tc>
      </w:tr>
    </w:tbl>
    <w:p>
      <w:pPr>
        <w:pStyle w:val="TextBody"/>
        <w:bidi w:val="0"/>
        <w:spacing w:before="0" w:after="0"/>
        <w:ind w:left="0" w:right="0" w:hanging="0"/>
        <w:jc w:val="left"/>
        <w:rPr/>
      </w:pPr>
      <w:r>
        <w:rPr/>
        <w:t>​</w:t>
      </w:r>
    </w:p>
    <w:p>
      <w:pPr>
        <w:pStyle w:val="TextBody"/>
        <w:bidi w:val="0"/>
        <w:spacing w:before="36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bookmarkStart w:id="2" w:name="htht-20260923xex99d1.htm"/>
        <w:bookmarkStart w:id="3" w:name="kshtht20260923xex99d1"/>
        <w:bookmarkEnd w:id="2"/>
        <w:bookmarkEnd w:id="3"/>
        <w:r>
          <w:rPr>
            <w:rStyle w:val="InternetLink"/>
            <w:rFonts w:ascii="Times New Roman;Times;serif" w:hAnsi="Times New Roman;Times;serif"/>
            <w:b w:val="false"/>
            <w:i w:val="false"/>
            <w:caps w:val="false"/>
            <w:smallCaps w:val="false"/>
            <w:sz w:val="20"/>
          </w:rPr>
          <w:t>Table of Contents</w:t>
        </w:r>
      </w:hyperlink>
      <w:r>
        <w:br w:type="page"/>
      </w:r>
    </w:p>
    <w:p>
      <w:pPr>
        <w:pStyle w:val="TextBody"/>
        <w:bidi w:val="0"/>
        <w:spacing w:before="0" w:after="240"/>
        <w:ind w:left="0" w:right="0" w:hanging="0"/>
        <w:jc w:val="right"/>
        <w:rPr>
          <w:rFonts w:ascii="Times New Roman;Times;serif" w:hAnsi="Times New Roman;Times;serif"/>
          <w:b/>
          <w:sz w:val="20"/>
        </w:rPr>
      </w:pPr>
      <w:bookmarkStart w:id="4" w:name="_a9bbcd70_0138_42f8_a404_0f97ae198e6c"/>
      <w:bookmarkEnd w:id="4"/>
      <w:r>
        <w:rPr>
          <w:rFonts w:ascii="Times New Roman;Times;serif" w:hAnsi="Times New Roman;Times;serif"/>
          <w:b/>
          <w:sz w:val="20"/>
        </w:rPr>
        <w:t>Exhibit 99.1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H WORLD GROUP LIMITED</w:t>
      </w:r>
    </w:p>
    <w:p>
      <w:pPr>
        <w:pStyle w:val="TextBody"/>
        <w:bidi w:val="0"/>
        <w:spacing w:before="0" w:after="0"/>
        <w:ind w:left="0" w:right="0" w:hanging="0"/>
        <w:jc w:val="center"/>
        <w:rPr>
          <w:rFonts w:ascii="Times New Roman;Times;serif" w:hAnsi="Times New Roman;Times;serif"/>
          <w:b/>
          <w:sz w:val="20"/>
        </w:rPr>
      </w:pPr>
      <w:bookmarkStart w:id="5" w:name="TOC"/>
      <w:bookmarkEnd w:id="5"/>
      <w:r>
        <w:rPr>
          <w:rFonts w:ascii="Times New Roman;Times;serif" w:hAnsi="Times New Roman;Times;serif"/>
          <w:b/>
          <w:sz w:val="20"/>
        </w:rPr>
        <w:t>INDEX TO UNAUDITED INTERIM CONDENSED CONSOLIDATED FINANCIAL STATEMENTS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454"/>
        <w:gridCol w:w="346"/>
        <w:gridCol w:w="405"/>
      </w:tblGrid>
      <w:tr>
        <w:trPr/>
        <w:tc>
          <w:tcPr>
            <w:tcW w:w="9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003290" cy="29210"/>
                      <wp:effectExtent l="0" t="0" r="0" b="0"/>
                      <wp:wrapNone/>
                      <wp:docPr id="3" name="Frame3"/>
                      <a:graphic xmlns:a="http://schemas.openxmlformats.org/drawingml/2006/main">
                        <a:graphicData uri="http://schemas.microsoft.com/office/word/2010/wordprocessingShape">
                          <wps:wsp>
                            <wps:cNvSpPr txBox="1"/>
                            <wps:spPr>
                              <a:xfrm>
                                <a:off x="0" y="0"/>
                                <a:ext cx="60032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29210"/>
                      <wp:effectExtent l="0" t="0" r="0" b="0"/>
                      <wp:wrapNone/>
                      <wp:docPr id="4" name="Frame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57175" cy="29210"/>
                      <wp:effectExtent l="0" t="0" r="0" b="0"/>
                      <wp:wrapNone/>
                      <wp:docPr id="5" name="Frame5"/>
                      <a:graphic xmlns:a="http://schemas.openxmlformats.org/drawingml/2006/main">
                        <a:graphicData uri="http://schemas.microsoft.com/office/word/2010/wordprocessingShape">
                          <wps:wsp>
                            <wps:cNvSpPr txBox="1"/>
                            <wps:spPr>
                              <a:xfrm>
                                <a:off x="0" y="0"/>
                                <a:ext cx="25717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454" w:type="dxa"/>
            <w:tcBorders/>
            <w:vAlign w:val="center"/>
          </w:tcPr>
          <w:p>
            <w:pPr>
              <w:pStyle w:val="TableContents"/>
              <w:pBdr/>
              <w:bidi w:val="0"/>
              <w:spacing w:before="0" w:after="0"/>
              <w:ind w:left="0" w:right="0" w:hanging="0"/>
              <w:jc w:val="left"/>
              <w:rPr/>
            </w:pPr>
            <w:hyperlink w:anchor="CONSOLIDATEDBALANCESHEETS_91810">
              <w:r>
                <w:rPr>
                  <w:rStyle w:val="InternetLink"/>
                  <w:rFonts w:ascii="Times New Roman;Times;serif" w:hAnsi="Times New Roman;Times;serif"/>
                  <w:b w:val="false"/>
                  <w:i w:val="false"/>
                  <w:caps w:val="false"/>
                  <w:smallCaps w:val="false"/>
                  <w:sz w:val="20"/>
                </w:rPr>
                <w:t>Unaudited Interim Condensed Consolidated Balance Sheets as of December 31, 2025 and June 30, 2026</w:t>
              </w:r>
            </w:hyperlink>
          </w:p>
        </w:tc>
        <w:tc>
          <w:tcPr>
            <w:tcW w:w="346" w:type="dxa"/>
            <w:tcBorders/>
            <w:vAlign w:val="center"/>
          </w:tcPr>
          <w:p>
            <w:pPr>
              <w:pStyle w:val="TableContents"/>
              <w:bidi w:val="0"/>
              <w:spacing w:before="0" w:after="0"/>
              <w:ind w:left="0" w:right="0" w:hanging="0"/>
              <w:jc w:val="left"/>
              <w:rPr/>
            </w:pPr>
            <w:r>
              <w:rPr/>
              <w:t>  ​ ​ ​</w:t>
            </w:r>
          </w:p>
        </w:tc>
        <w:tc>
          <w:tcPr>
            <w:tcW w:w="4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94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right"/>
              <w:rPr/>
            </w:pPr>
            <w:r>
              <w:rPr/>
              <w:t>​</w:t>
            </w:r>
          </w:p>
        </w:tc>
      </w:tr>
      <w:tr>
        <w:trPr/>
        <w:tc>
          <w:tcPr>
            <w:tcW w:w="9454" w:type="dxa"/>
            <w:tcBorders/>
            <w:vAlign w:val="center"/>
          </w:tcPr>
          <w:p>
            <w:pPr>
              <w:pStyle w:val="TableContents"/>
              <w:pBdr/>
              <w:bidi w:val="0"/>
              <w:spacing w:before="0" w:after="0"/>
              <w:ind w:left="0" w:right="0" w:hanging="0"/>
              <w:jc w:val="left"/>
              <w:rPr/>
            </w:pPr>
            <w:hyperlink w:anchor="CONSOLIDATEDSTATEMENTSOFCOMPREHENSIVEINC">
              <w:r>
                <w:rPr>
                  <w:rStyle w:val="InternetLink"/>
                  <w:rFonts w:ascii="Times New Roman;Times;serif" w:hAnsi="Times New Roman;Times;serif"/>
                  <w:b w:val="false"/>
                  <w:i w:val="false"/>
                  <w:caps w:val="false"/>
                  <w:smallCaps w:val="false"/>
                  <w:sz w:val="20"/>
                </w:rPr>
                <w:t>Unaudited Interim Condensed Consolidated Statements of Comprehensive Income for the Six Months Ended June 30, 2025 and 2026</w:t>
              </w:r>
            </w:hyperlink>
          </w:p>
        </w:tc>
        <w:tc>
          <w:tcPr>
            <w:tcW w:w="34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F-3</w:t>
            </w:r>
          </w:p>
        </w:tc>
      </w:tr>
      <w:tr>
        <w:trPr/>
        <w:tc>
          <w:tcPr>
            <w:tcW w:w="94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right"/>
              <w:rPr/>
            </w:pPr>
            <w:r>
              <w:rPr/>
              <w:t>​</w:t>
            </w:r>
          </w:p>
        </w:tc>
      </w:tr>
      <w:tr>
        <w:trPr/>
        <w:tc>
          <w:tcPr>
            <w:tcW w:w="9454" w:type="dxa"/>
            <w:tcBorders/>
            <w:vAlign w:val="center"/>
          </w:tcPr>
          <w:p>
            <w:pPr>
              <w:pStyle w:val="TableContents"/>
              <w:pBdr/>
              <w:bidi w:val="0"/>
              <w:spacing w:before="0" w:after="0"/>
              <w:ind w:left="0" w:right="0" w:hanging="0"/>
              <w:jc w:val="left"/>
              <w:rPr/>
            </w:pPr>
            <w:hyperlink w:anchor="CONSOLIDATEDSTATEMENTSOFCHANGESINEQUITY_">
              <w:r>
                <w:rPr>
                  <w:rStyle w:val="InternetLink"/>
                  <w:rFonts w:ascii="Times New Roman;Times;serif" w:hAnsi="Times New Roman;Times;serif"/>
                  <w:b w:val="false"/>
                  <w:i w:val="false"/>
                  <w:caps w:val="false"/>
                  <w:smallCaps w:val="false"/>
                  <w:sz w:val="20"/>
                </w:rPr>
                <w:t>Unaudited Interim Condensed Consolidated Statements of Changes in Equity for the Six Months Ended June 30, 2025 and 2026</w:t>
              </w:r>
            </w:hyperlink>
          </w:p>
        </w:tc>
        <w:tc>
          <w:tcPr>
            <w:tcW w:w="34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94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right"/>
              <w:rPr/>
            </w:pPr>
            <w:r>
              <w:rPr/>
              <w:t>​</w:t>
            </w:r>
          </w:p>
        </w:tc>
      </w:tr>
      <w:tr>
        <w:trPr/>
        <w:tc>
          <w:tcPr>
            <w:tcW w:w="9454" w:type="dxa"/>
            <w:tcBorders/>
            <w:vAlign w:val="center"/>
          </w:tcPr>
          <w:p>
            <w:pPr>
              <w:pStyle w:val="TableContents"/>
              <w:pBdr/>
              <w:bidi w:val="0"/>
              <w:spacing w:before="0" w:after="0"/>
              <w:ind w:left="0" w:right="0" w:hanging="0"/>
              <w:jc w:val="left"/>
              <w:rPr/>
            </w:pPr>
            <w:hyperlink w:anchor="CONSOLIDATEDSTATEMENTSOFCASHFLOWS_157986">
              <w:r>
                <w:rPr>
                  <w:rStyle w:val="InternetLink"/>
                  <w:rFonts w:ascii="Times New Roman;Times;serif" w:hAnsi="Times New Roman;Times;serif"/>
                  <w:b w:val="false"/>
                  <w:i w:val="false"/>
                  <w:caps w:val="false"/>
                  <w:smallCaps w:val="false"/>
                  <w:sz w:val="20"/>
                </w:rPr>
                <w:t>Unaudited Interim Condensed Consolidated Statements of Cash Flows for the Six Months Ended June 30, 2025 and 2026</w:t>
              </w:r>
            </w:hyperlink>
          </w:p>
        </w:tc>
        <w:tc>
          <w:tcPr>
            <w:tcW w:w="34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94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right"/>
              <w:rPr/>
            </w:pPr>
            <w:r>
              <w:rPr/>
              <w:t>​</w:t>
            </w:r>
          </w:p>
        </w:tc>
      </w:tr>
      <w:tr>
        <w:trPr/>
        <w:tc>
          <w:tcPr>
            <w:tcW w:w="9454" w:type="dxa"/>
            <w:tcBorders/>
            <w:vAlign w:val="center"/>
          </w:tcPr>
          <w:p>
            <w:pPr>
              <w:pStyle w:val="TableContents"/>
              <w:pBdr/>
              <w:bidi w:val="0"/>
              <w:spacing w:before="0" w:after="0"/>
              <w:ind w:left="0" w:right="0" w:hanging="0"/>
              <w:jc w:val="left"/>
              <w:rPr/>
            </w:pPr>
            <w:hyperlink w:anchor="NOTESTOCONSOLIDATEDFINANCIALSTATEMENTS_9">
              <w:r>
                <w:rPr>
                  <w:rStyle w:val="InternetLink"/>
                  <w:rFonts w:ascii="Times New Roman;Times;serif" w:hAnsi="Times New Roman;Times;serif"/>
                  <w:b w:val="false"/>
                  <w:i w:val="false"/>
                  <w:caps w:val="false"/>
                  <w:smallCaps w:val="false"/>
                  <w:sz w:val="20"/>
                </w:rPr>
                <w:t>Notes to Unaudited Interim Condensed Consolidated Financial Statements</w:t>
              </w:r>
            </w:hyperlink>
          </w:p>
        </w:tc>
        <w:tc>
          <w:tcPr>
            <w:tcW w:w="34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 w:name="_688e88a7_21b8_4d2c_b194_fed6983e4648"/>
      <w:bookmarkEnd w:id="6"/>
      <w:r>
        <w:rPr>
          <w:rFonts w:ascii="Times New Roman;Times;serif" w:hAnsi="Times New Roman;Times;serif"/>
          <w:b/>
          <w:sz w:val="20"/>
        </w:rPr>
        <w:t>H WORLD GROUP LIMITED</w:t>
      </w:r>
    </w:p>
    <w:p>
      <w:pPr>
        <w:pStyle w:val="TextBody"/>
        <w:bidi w:val="0"/>
        <w:spacing w:before="0" w:after="0"/>
        <w:ind w:left="0" w:right="0" w:hanging="0"/>
        <w:jc w:val="center"/>
        <w:rPr>
          <w:rFonts w:ascii="Times New Roman;Times;serif" w:hAnsi="Times New Roman;Times;serif"/>
          <w:b/>
          <w:sz w:val="20"/>
        </w:rPr>
      </w:pPr>
      <w:bookmarkStart w:id="7" w:name="CONSOLIDATEDBALANCESHEETS_91810"/>
      <w:bookmarkEnd w:id="7"/>
      <w:r>
        <w:rPr>
          <w:rFonts w:ascii="Times New Roman;Times;serif" w:hAnsi="Times New Roman;Times;serif"/>
          <w:b/>
          <w:sz w:val="20"/>
        </w:rPr>
        <w:t>UNAUDITED INTERIM 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(Renminbi in millions, except share and per share data, unless otherwise stated)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8" w:name="Tc_S4EPisQT40KTlEs4xZEdEw_63_0"/>
      <w:bookmarkStart w:id="9" w:name="Tc_kL0r8AeZ6kyLj03DNI00CA_62_0"/>
      <w:bookmarkStart w:id="10" w:name="Tc_dcEoO62p40C8lAt09uRBAw_61_0"/>
      <w:bookmarkStart w:id="11" w:name="Tc_R4SwPrZ_FEyMFlDbe3a_Qw_60_0"/>
      <w:bookmarkStart w:id="12" w:name="Tc_M7T4kv_UfUu43sr5336bmA_59_0"/>
      <w:bookmarkStart w:id="13" w:name="Tc_W5Ew2-Lh7UGAXn6rfzbZBA_58_0"/>
      <w:bookmarkStart w:id="14" w:name="Tc_mWX20F00u0GI_cyqczEAkw_57_0"/>
      <w:bookmarkStart w:id="15" w:name="Tc_8kKwDhZoxEez6h038L2uKQ_56_0"/>
      <w:bookmarkStart w:id="16" w:name="Tc_WYiCzoda80usHiIFjWj4eg_55_0"/>
      <w:bookmarkStart w:id="17" w:name="Tc_XrCZkCvEfUG1pSA_WnrVXA_54_0"/>
      <w:bookmarkStart w:id="18" w:name="Tc_3wx-AviS4UuyDLW0PUKLsw_53_0"/>
      <w:bookmarkStart w:id="19" w:name="Tc_FnVCGnBdU0iNVb3O7eVO4g_52_0"/>
      <w:bookmarkStart w:id="20" w:name="Tc_2I7IvDlM40SN4H4c8E61ig_51_6"/>
      <w:bookmarkStart w:id="21" w:name="Tc_KAe4N2z0QkWJJFU17v6hRw_51_4"/>
      <w:bookmarkStart w:id="22" w:name="Tc_d7iu1mPz2ES3_QmRhBJiRQ_51_0"/>
      <w:bookmarkStart w:id="23" w:name="Tc_0IEcxUfTwEa4V2HyCoTbuQ_50_0"/>
      <w:bookmarkStart w:id="24" w:name="Tc_wjnyAkOcHk6Ej_MbsfU8yA_49_0"/>
      <w:bookmarkStart w:id="25" w:name="Tc_iMODtSuXLESeuwUPWTy4gg_48_0"/>
      <w:bookmarkStart w:id="26" w:name="Tc_WgUftraRREO5r5e_erw35Q_47_0"/>
      <w:bookmarkStart w:id="27" w:name="Tc_2LjE5etDb02JPONmoyYiZA_46_0"/>
      <w:bookmarkStart w:id="28" w:name="Tc_wp9tMYnR7k2ORxyc6Xg1yQ_45_0"/>
      <w:bookmarkStart w:id="29" w:name="Tc_9gMdZiEutUOaMSeHcl_T8Q_44_0"/>
      <w:bookmarkStart w:id="30" w:name="Tc_FbWOannM70moH4Tv80nV0w_42_0"/>
      <w:bookmarkStart w:id="31" w:name="Tc_lXytp0hHzE2QNpVUY_BDGg_41_0"/>
      <w:bookmarkStart w:id="32" w:name="Tc_uiUwynajlUmLo1p9Z2giPA_40_0"/>
      <w:bookmarkStart w:id="33" w:name="Tc_BwFgpVNA2Uu496B_yBTELQ_39_0"/>
      <w:bookmarkStart w:id="34" w:name="Tc_ZWVRnesH4U-V1UTYN3djjg_38_0"/>
      <w:bookmarkStart w:id="35" w:name="Tc_2j1pHw0nPUW99CWxXXAcBA_37_0"/>
      <w:bookmarkStart w:id="36" w:name="Tc_fdA0HFEfK0ygrwjWPJpKmA_36_0"/>
      <w:bookmarkStart w:id="37" w:name="Tc_VaOcAKigCEaZQ0CCzE-XBg_34_0"/>
      <w:bookmarkStart w:id="38" w:name="Tc_OLU-Yn4Om0KIH9Ug0gwNcw_33_0"/>
      <w:bookmarkStart w:id="39" w:name="Tc_yUX1c2N3ykuDDFIxlWI6MA_32_0"/>
      <w:bookmarkStart w:id="40" w:name="Tc_nd_qO-Wq7k6SI7FKOCRJuw_31_0"/>
      <w:bookmarkStart w:id="41" w:name="Tc_OhbvMdnrGUeeU3L2MhaNHw_29_0"/>
      <w:bookmarkStart w:id="42" w:name="Tc_fJhLpYvqYEaEm6rGRHT4wQ_28_6"/>
      <w:bookmarkStart w:id="43" w:name="Tc_4Z0jnuwCXk6k4w1tNNgBmQ_28_4"/>
      <w:bookmarkStart w:id="44" w:name="Tc__hardBzgXEe0rGBqMa7KPg_28_0"/>
      <w:bookmarkStart w:id="45" w:name="Tc_j9NPi4tn_Ee2JSmqQkxcuw_27_0"/>
      <w:bookmarkStart w:id="46" w:name="Tc_2K_WjwYcB0Wg0AOD3ArNuA_26_0"/>
      <w:bookmarkStart w:id="47" w:name="Tc_jA2YUe31R0qpQGCDtcz0nA_25_0"/>
      <w:bookmarkStart w:id="48" w:name="Tc_EDD9xOcMJk6btGfIxfnlwQ_23_0"/>
      <w:bookmarkStart w:id="49" w:name="Tc_Y4dcNZ7D3UGLx8hKf53eZw_22_0"/>
      <w:bookmarkStart w:id="50" w:name="Tc_6LjG8iSv30207QohhdM3OQ_21_0"/>
      <w:bookmarkStart w:id="51" w:name="Tc_zBEVd8OJtEKrO65nJx2Mzw_20_0"/>
      <w:bookmarkStart w:id="52" w:name="Tc_dvikXXujXUu-hm3o0ZGufw_19_0"/>
      <w:bookmarkStart w:id="53" w:name="Tc_etreRBEDwUi30uST6ABPXw_18_0"/>
      <w:bookmarkStart w:id="54" w:name="Tc_vaZC9TyroEKeRO0sDFjdrw_17_0"/>
      <w:bookmarkStart w:id="55" w:name="Tc_DldEMKTRLUmqSFZpIorshw_15_0"/>
      <w:bookmarkStart w:id="56" w:name="Tc_htJPAF1h2kqHaJRkwM907A_14_0"/>
      <w:bookmarkStart w:id="57" w:name="Tc_FvOeHuA0M0iYaj9VJMIB0g_13_0"/>
      <w:bookmarkStart w:id="58" w:name="Tc_tzyakK9sj0eehDzEZtiL6w_11_0"/>
      <w:bookmarkStart w:id="59" w:name="Tc_Vp9eqAWpdkWV5PMe8MQ-_A_10_0"/>
      <w:bookmarkStart w:id="60" w:name="Tc_nrzw3PVe8kiF9Dv-Oxldtw_9_0"/>
      <w:bookmarkStart w:id="61" w:name="Tc_0hEMDW3rpUyFH-9MC7vE4Q_8_0"/>
      <w:bookmarkStart w:id="62" w:name="Tc_kxBvtZcSWk-JLwk_-pcNlQ_7_0"/>
      <w:bookmarkStart w:id="63" w:name="Tc_ofn0GhktxUOODkJhfuPpsA_6_0"/>
      <w:bookmarkStart w:id="64" w:name="Tc_4pFP6m2gzUm9U_OWtuVcKQ_5_0"/>
      <w:bookmarkStart w:id="65" w:name="Tc_pcvCXTGckUWk2-W-zT82nQ_4_6"/>
      <w:bookmarkStart w:id="66" w:name="Tc_tLU6Te_Ni0qPFScwZ80u0A_3_6"/>
      <w:bookmarkStart w:id="67" w:name="Tc_1c8eE49eSk-jtI4eNQIdOQ_2_6"/>
      <w:bookmarkStart w:id="68" w:name="Tc_R3rx_bLLGkuz0n0Qbmq4UQ_2_4"/>
      <w:bookmarkStart w:id="69" w:name="Tc_F3MJi6fg-EKXssyB9rqAKg_2_2"/>
      <w:bookmarkStart w:id="70" w:name="Tc_PE6F2sg_VEe4A8e8wZGzhQ_1_2"/>
      <w:bookmarkStart w:id="71" w:name="_6a411698_f4ad_4265_af4b_99460153fcd3"/>
      <w:bookmarkStart w:id="72" w:name="Tc_S4EPisQT40KTlEs4xZEdEw_63_0"/>
      <w:bookmarkStart w:id="73" w:name="Tc_kL0r8AeZ6kyLj03DNI00CA_62_0"/>
      <w:bookmarkStart w:id="74" w:name="Tc_dcEoO62p40C8lAt09uRBAw_61_0"/>
      <w:bookmarkStart w:id="75" w:name="Tc_R4SwPrZ_FEyMFlDbe3a_Qw_60_0"/>
      <w:bookmarkStart w:id="76" w:name="Tc_M7T4kv_UfUu43sr5336bmA_59_0"/>
      <w:bookmarkStart w:id="77" w:name="Tc_W5Ew2-Lh7UGAXn6rfzbZBA_58_0"/>
      <w:bookmarkStart w:id="78" w:name="Tc_mWX20F00u0GI_cyqczEAkw_57_0"/>
      <w:bookmarkStart w:id="79" w:name="Tc_8kKwDhZoxEez6h038L2uKQ_56_0"/>
      <w:bookmarkStart w:id="80" w:name="Tc_WYiCzoda80usHiIFjWj4eg_55_0"/>
      <w:bookmarkStart w:id="81" w:name="Tc_XrCZkCvEfUG1pSA_WnrVXA_54_0"/>
      <w:bookmarkStart w:id="82" w:name="Tc_3wx-AviS4UuyDLW0PUKLsw_53_0"/>
      <w:bookmarkStart w:id="83" w:name="Tc_FnVCGnBdU0iNVb3O7eVO4g_52_0"/>
      <w:bookmarkStart w:id="84" w:name="Tc_2I7IvDlM40SN4H4c8E61ig_51_6"/>
      <w:bookmarkStart w:id="85" w:name="Tc_KAe4N2z0QkWJJFU17v6hRw_51_4"/>
      <w:bookmarkStart w:id="86" w:name="Tc_d7iu1mPz2ES3_QmRhBJiRQ_51_0"/>
      <w:bookmarkStart w:id="87" w:name="Tc_0IEcxUfTwEa4V2HyCoTbuQ_50_0"/>
      <w:bookmarkStart w:id="88" w:name="Tc_wjnyAkOcHk6Ej_MbsfU8yA_49_0"/>
      <w:bookmarkStart w:id="89" w:name="Tc_iMODtSuXLESeuwUPWTy4gg_48_0"/>
      <w:bookmarkStart w:id="90" w:name="Tc_WgUftraRREO5r5e_erw35Q_47_0"/>
      <w:bookmarkStart w:id="91" w:name="Tc_2LjE5etDb02JPONmoyYiZA_46_0"/>
      <w:bookmarkStart w:id="92" w:name="Tc_wp9tMYnR7k2ORxyc6Xg1yQ_45_0"/>
      <w:bookmarkStart w:id="93" w:name="Tc_9gMdZiEutUOaMSeHcl_T8Q_44_0"/>
      <w:bookmarkStart w:id="94" w:name="Tc_FbWOannM70moH4Tv80nV0w_42_0"/>
      <w:bookmarkStart w:id="95" w:name="Tc_lXytp0hHzE2QNpVUY_BDGg_41_0"/>
      <w:bookmarkStart w:id="96" w:name="Tc_uiUwynajlUmLo1p9Z2giPA_40_0"/>
      <w:bookmarkStart w:id="97" w:name="Tc_BwFgpVNA2Uu496B_yBTELQ_39_0"/>
      <w:bookmarkStart w:id="98" w:name="Tc_ZWVRnesH4U-V1UTYN3djjg_38_0"/>
      <w:bookmarkStart w:id="99" w:name="Tc_2j1pHw0nPUW99CWxXXAcBA_37_0"/>
      <w:bookmarkStart w:id="100" w:name="Tc_fdA0HFEfK0ygrwjWPJpKmA_36_0"/>
      <w:bookmarkStart w:id="101" w:name="Tc_VaOcAKigCEaZQ0CCzE-XBg_34_0"/>
      <w:bookmarkStart w:id="102" w:name="Tc_OLU-Yn4Om0KIH9Ug0gwNcw_33_0"/>
      <w:bookmarkStart w:id="103" w:name="Tc_yUX1c2N3ykuDDFIxlWI6MA_32_0"/>
      <w:bookmarkStart w:id="104" w:name="Tc_nd_qO-Wq7k6SI7FKOCRJuw_31_0"/>
      <w:bookmarkStart w:id="105" w:name="Tc_OhbvMdnrGUeeU3L2MhaNHw_29_0"/>
      <w:bookmarkStart w:id="106" w:name="Tc_fJhLpYvqYEaEm6rGRHT4wQ_28_6"/>
      <w:bookmarkStart w:id="107" w:name="Tc_4Z0jnuwCXk6k4w1tNNgBmQ_28_4"/>
      <w:bookmarkStart w:id="108" w:name="Tc__hardBzgXEe0rGBqMa7KPg_28_0"/>
      <w:bookmarkStart w:id="109" w:name="Tc_j9NPi4tn_Ee2JSmqQkxcuw_27_0"/>
      <w:bookmarkStart w:id="110" w:name="Tc_2K_WjwYcB0Wg0AOD3ArNuA_26_0"/>
      <w:bookmarkStart w:id="111" w:name="Tc_jA2YUe31R0qpQGCDtcz0nA_25_0"/>
      <w:bookmarkStart w:id="112" w:name="Tc_EDD9xOcMJk6btGfIxfnlwQ_23_0"/>
      <w:bookmarkStart w:id="113" w:name="Tc_Y4dcNZ7D3UGLx8hKf53eZw_22_0"/>
      <w:bookmarkStart w:id="114" w:name="Tc_6LjG8iSv30207QohhdM3OQ_21_0"/>
      <w:bookmarkStart w:id="115" w:name="Tc_zBEVd8OJtEKrO65nJx2Mzw_20_0"/>
      <w:bookmarkStart w:id="116" w:name="Tc_dvikXXujXUu-hm3o0ZGufw_19_0"/>
      <w:bookmarkStart w:id="117" w:name="Tc_etreRBEDwUi30uST6ABPXw_18_0"/>
      <w:bookmarkStart w:id="118" w:name="Tc_vaZC9TyroEKeRO0sDFjdrw_17_0"/>
      <w:bookmarkStart w:id="119" w:name="Tc_DldEMKTRLUmqSFZpIorshw_15_0"/>
      <w:bookmarkStart w:id="120" w:name="Tc_htJPAF1h2kqHaJRkwM907A_14_0"/>
      <w:bookmarkStart w:id="121" w:name="Tc_FvOeHuA0M0iYaj9VJMIB0g_13_0"/>
      <w:bookmarkStart w:id="122" w:name="Tc_tzyakK9sj0eehDzEZtiL6w_11_0"/>
      <w:bookmarkStart w:id="123" w:name="Tc_Vp9eqAWpdkWV5PMe8MQ-_A_10_0"/>
      <w:bookmarkStart w:id="124" w:name="Tc_nrzw3PVe8kiF9Dv-Oxldtw_9_0"/>
      <w:bookmarkStart w:id="125" w:name="Tc_0hEMDW3rpUyFH-9MC7vE4Q_8_0"/>
      <w:bookmarkStart w:id="126" w:name="Tc_kxBvtZcSWk-JLwk_-pcNlQ_7_0"/>
      <w:bookmarkStart w:id="127" w:name="Tc_ofn0GhktxUOODkJhfuPpsA_6_0"/>
      <w:bookmarkStart w:id="128" w:name="Tc_4pFP6m2gzUm9U_OWtuVcKQ_5_0"/>
      <w:bookmarkStart w:id="129" w:name="Tc_pcvCXTGckUWk2-W-zT82nQ_4_6"/>
      <w:bookmarkStart w:id="130" w:name="Tc_tLU6Te_Ni0qPFScwZ80u0A_3_6"/>
      <w:bookmarkStart w:id="131" w:name="Tc_1c8eE49eSk-jtI4eNQIdOQ_2_6"/>
      <w:bookmarkStart w:id="132" w:name="Tc_R3rx_bLLGkuz0n0Qbmq4UQ_2_4"/>
      <w:bookmarkStart w:id="133" w:name="Tc_F3MJi6fg-EKXssyB9rqAKg_2_2"/>
      <w:bookmarkStart w:id="134" w:name="Tc_PE6F2sg_VEe4A8e8wZGzhQ_1_2"/>
      <w:bookmarkStart w:id="135" w:name="_6a411698_f4ad_4265_af4b_99460153fcd3"/>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tbl>
      <w:tblPr>
        <w:tblW w:w="10205" w:type="dxa"/>
        <w:jc w:val="left"/>
        <w:tblInd w:w="0" w:type="dxa"/>
        <w:tblLayout w:type="fixed"/>
        <w:tblCellMar>
          <w:top w:w="0" w:type="dxa"/>
          <w:left w:w="0" w:type="dxa"/>
          <w:bottom w:w="0" w:type="dxa"/>
          <w:right w:w="0" w:type="dxa"/>
        </w:tblCellMar>
      </w:tblPr>
      <w:tblGrid>
        <w:gridCol w:w="6546"/>
        <w:gridCol w:w="346"/>
        <w:gridCol w:w="1216"/>
        <w:gridCol w:w="346"/>
        <w:gridCol w:w="657"/>
        <w:gridCol w:w="346"/>
        <w:gridCol w:w="748"/>
      </w:tblGrid>
      <w:tr>
        <w:trPr/>
        <w:tc>
          <w:tcPr>
            <w:tcW w:w="6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156710" cy="175260"/>
                      <wp:effectExtent l="0" t="0" r="0" b="0"/>
                      <wp:wrapNone/>
                      <wp:docPr id="6" name="Frame6"/>
                      <a:graphic xmlns:a="http://schemas.openxmlformats.org/drawingml/2006/main">
                        <a:graphicData uri="http://schemas.microsoft.com/office/word/2010/wordprocessingShape">
                          <wps:wsp>
                            <wps:cNvSpPr txBox="1"/>
                            <wps:spPr>
                              <a:xfrm>
                                <a:off x="0" y="0"/>
                                <a:ext cx="415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772160" cy="175260"/>
                      <wp:effectExtent l="0" t="0" r="0" b="0"/>
                      <wp:wrapNone/>
                      <wp:docPr id="8" name="Frame8"/>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17195" cy="175260"/>
                      <wp:effectExtent l="0" t="0" r="0" b="0"/>
                      <wp:wrapNone/>
                      <wp:docPr id="10" name="Frame10"/>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74980" cy="175260"/>
                      <wp:effectExtent l="0" t="0" r="0" b="0"/>
                      <wp:wrapNone/>
                      <wp:docPr id="12" name="Frame12"/>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3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 xml:space="preserve">As of </w:t>
            </w:r>
          </w:p>
        </w:tc>
      </w:tr>
      <w:tr>
        <w:trPr/>
        <w:tc>
          <w:tcPr>
            <w:tcW w:w="6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December 31, 2025</w:t>
            </w:r>
          </w:p>
        </w:tc>
        <w:tc>
          <w:tcPr>
            <w:tcW w:w="346" w:type="dxa"/>
            <w:tcBorders/>
            <w:vAlign w:val="center"/>
          </w:tcPr>
          <w:p>
            <w:pPr>
              <w:pStyle w:val="TableContents"/>
              <w:bidi w:val="0"/>
              <w:spacing w:before="0" w:after="1"/>
              <w:ind w:left="0" w:right="0" w:hanging="0"/>
              <w:jc w:val="left"/>
              <w:rPr/>
            </w:pPr>
            <w:r>
              <w:rPr/>
              <w:t>  ​ ​ ​</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June 30, 2026</w:t>
            </w:r>
          </w:p>
        </w:tc>
        <w:tc>
          <w:tcPr>
            <w:tcW w:w="346" w:type="dxa"/>
            <w:tcBorders/>
            <w:vAlign w:val="center"/>
          </w:tcPr>
          <w:p>
            <w:pPr>
              <w:pStyle w:val="TableContents"/>
              <w:bidi w:val="0"/>
              <w:spacing w:before="0" w:after="1"/>
              <w:ind w:left="0" w:right="0" w:hanging="0"/>
              <w:jc w:val="left"/>
              <w:rPr/>
            </w:pPr>
            <w:r>
              <w:rPr/>
              <w:t>  ​ ​ ​</w:t>
            </w:r>
          </w:p>
        </w:tc>
        <w:tc>
          <w:tcPr>
            <w:tcW w:w="74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June 30, 2026</w:t>
            </w:r>
          </w:p>
        </w:tc>
      </w:tr>
      <w:tr>
        <w:trPr/>
        <w:tc>
          <w:tcPr>
            <w:tcW w:w="6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2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5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48"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US$’ in million</w:t>
            </w:r>
          </w:p>
        </w:tc>
      </w:tr>
      <w:tr>
        <w:trPr/>
        <w:tc>
          <w:tcPr>
            <w:tcW w:w="6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center"/>
              <w:rPr>
                <w:rFonts w:ascii="Times New Roman;Times;serif" w:hAnsi="Times New Roman;Times;serif"/>
                <w:b/>
                <w:sz w:val="13"/>
              </w:rPr>
            </w:pPr>
            <w:r>
              <w:rPr>
                <w:rFonts w:ascii="Times New Roman;Times;serif" w:hAnsi="Times New Roman;Times;serif"/>
                <w:b/>
                <w:sz w:val="13"/>
              </w:rPr>
              <w:t>(Note 2)</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pPr>
            <w:r>
              <w:rPr/>
              <w:t>  ​</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Current assets:</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5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right"/>
              <w:rPr/>
            </w:pPr>
            <w:r>
              <w:rPr/>
              <w:t>  ​</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Cash and cash equivalents</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10,386</w:t>
            </w:r>
          </w:p>
        </w:tc>
        <w:tc>
          <w:tcPr>
            <w:tcW w:w="346" w:type="dxa"/>
            <w:tcBorders/>
            <w:shd w:fill="CCEEFF" w:val="clear"/>
            <w:vAlign w:val="center"/>
          </w:tcPr>
          <w:p>
            <w:pPr>
              <w:pStyle w:val="TableContents"/>
              <w:bidi w:val="0"/>
              <w:spacing w:before="0" w:after="1"/>
              <w:ind w:left="0" w:right="0" w:hanging="0"/>
              <w:jc w:val="left"/>
              <w:rPr/>
            </w:pPr>
            <w:r>
              <w:rPr/>
              <w:t> </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14,249</w:t>
            </w:r>
          </w:p>
        </w:tc>
        <w:tc>
          <w:tcPr>
            <w:tcW w:w="346" w:type="dxa"/>
            <w:tcBorders/>
            <w:shd w:fill="CCEEFF" w:val="clear"/>
            <w:vAlign w:val="center"/>
          </w:tcPr>
          <w:p>
            <w:pPr>
              <w:pStyle w:val="TableContents"/>
              <w:bidi w:val="0"/>
              <w:spacing w:before="0" w:after="1"/>
              <w:ind w:left="0" w:right="0" w:hanging="0"/>
              <w:jc w:val="left"/>
              <w:rPr/>
            </w:pPr>
            <w:r>
              <w:rPr/>
              <w:t> </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2,100</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Restricted cash</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146</w:t>
            </w:r>
          </w:p>
        </w:tc>
        <w:tc>
          <w:tcPr>
            <w:tcW w:w="346" w:type="dxa"/>
            <w:tcBorders/>
            <w:vAlign w:val="center"/>
          </w:tcPr>
          <w:p>
            <w:pPr>
              <w:pStyle w:val="TableContents"/>
              <w:bidi w:val="0"/>
              <w:spacing w:before="0" w:after="1"/>
              <w:ind w:left="0" w:right="0" w:hanging="0"/>
              <w:jc w:val="left"/>
              <w:rPr/>
            </w:pPr>
            <w:r>
              <w:rPr/>
              <w:t> </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142</w:t>
            </w:r>
          </w:p>
        </w:tc>
        <w:tc>
          <w:tcPr>
            <w:tcW w:w="346"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21</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3"/>
              </w:rPr>
              <w:t>Short-term investments, including marketable securities measured at fair value of RMB69</w:t>
            </w:r>
            <w:r>
              <w:rPr>
                <w:rFonts w:ascii="Times New Roman;Times;serif" w:hAnsi="Times New Roman;Times;serif"/>
                <w:sz w:val="12"/>
              </w:rPr>
              <w:t xml:space="preserve"> </w:t>
            </w:r>
            <w:r>
              <w:rPr>
                <w:rFonts w:ascii="Times New Roman;Times;serif" w:hAnsi="Times New Roman;Times;serif"/>
                <w:sz w:val="13"/>
              </w:rPr>
              <w:t>and RMB57</w:t>
            </w:r>
            <w:r>
              <w:rPr>
                <w:rFonts w:ascii="Times New Roman;Times;serif" w:hAnsi="Times New Roman;Times;serif"/>
                <w:sz w:val="12"/>
              </w:rPr>
              <w:t xml:space="preserve"> </w:t>
            </w:r>
            <w:r>
              <w:rPr>
                <w:rFonts w:ascii="Times New Roman;Times;serif" w:hAnsi="Times New Roman;Times;serif"/>
                <w:sz w:val="13"/>
              </w:rPr>
              <w:t xml:space="preserve">as of December 31, </w:t>
              <w:br/>
              <w:t>2025 and June 30, 2026, respectively</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4,894</w:t>
            </w:r>
          </w:p>
        </w:tc>
        <w:tc>
          <w:tcPr>
            <w:tcW w:w="346" w:type="dxa"/>
            <w:tcBorders/>
            <w:shd w:fill="CCEEFF" w:val="clear"/>
            <w:vAlign w:val="center"/>
          </w:tcPr>
          <w:p>
            <w:pPr>
              <w:pStyle w:val="TableContents"/>
              <w:bidi w:val="0"/>
              <w:spacing w:before="0" w:after="1"/>
              <w:ind w:left="0" w:right="0" w:hanging="0"/>
              <w:jc w:val="left"/>
              <w:rPr/>
            </w:pPr>
            <w:r>
              <w:rPr/>
              <w:t> </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1,315</w:t>
            </w:r>
          </w:p>
        </w:tc>
        <w:tc>
          <w:tcPr>
            <w:tcW w:w="346" w:type="dxa"/>
            <w:tcBorders/>
            <w:shd w:fill="CCEEFF" w:val="clear"/>
            <w:vAlign w:val="center"/>
          </w:tcPr>
          <w:p>
            <w:pPr>
              <w:pStyle w:val="TableContents"/>
              <w:bidi w:val="0"/>
              <w:spacing w:before="0" w:after="1"/>
              <w:ind w:left="0" w:right="0" w:hanging="0"/>
              <w:jc w:val="left"/>
              <w:rPr/>
            </w:pPr>
            <w:r>
              <w:rPr/>
              <w:t> </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194</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3"/>
              </w:rPr>
              <w:t>Accounts receivable, net of allowance of RMB116</w:t>
            </w:r>
            <w:r>
              <w:rPr>
                <w:rFonts w:ascii="Times New Roman;Times;serif" w:hAnsi="Times New Roman;Times;serif"/>
                <w:sz w:val="12"/>
              </w:rPr>
              <w:t xml:space="preserve"> </w:t>
            </w:r>
            <w:r>
              <w:rPr>
                <w:rFonts w:ascii="Times New Roman;Times;serif" w:hAnsi="Times New Roman;Times;serif"/>
                <w:sz w:val="13"/>
              </w:rPr>
              <w:t>and RMB105</w:t>
            </w:r>
            <w:r>
              <w:rPr>
                <w:rFonts w:ascii="Times New Roman;Times;serif" w:hAnsi="Times New Roman;Times;serif"/>
                <w:sz w:val="12"/>
              </w:rPr>
              <w:t xml:space="preserve"> </w:t>
            </w:r>
            <w:r>
              <w:rPr>
                <w:rFonts w:ascii="Times New Roman;Times;serif" w:hAnsi="Times New Roman;Times;serif"/>
                <w:sz w:val="13"/>
              </w:rPr>
              <w:t>as of December 31, 2025 and June 30, 2026, respectively</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723</w:t>
            </w:r>
          </w:p>
        </w:tc>
        <w:tc>
          <w:tcPr>
            <w:tcW w:w="346" w:type="dxa"/>
            <w:tcBorders/>
            <w:vAlign w:val="center"/>
          </w:tcPr>
          <w:p>
            <w:pPr>
              <w:pStyle w:val="TableContents"/>
              <w:bidi w:val="0"/>
              <w:spacing w:before="0" w:after="1"/>
              <w:ind w:left="0" w:right="0" w:hanging="0"/>
              <w:jc w:val="left"/>
              <w:rPr/>
            </w:pPr>
            <w:r>
              <w:rPr/>
              <w:t> </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839</w:t>
            </w:r>
          </w:p>
        </w:tc>
        <w:tc>
          <w:tcPr>
            <w:tcW w:w="346"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124</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3"/>
              </w:rPr>
              <w:t>Loan receivables - current, net of allowance of RMB45</w:t>
            </w:r>
            <w:r>
              <w:rPr>
                <w:rFonts w:ascii="Times New Roman;Times;serif" w:hAnsi="Times New Roman;Times;serif"/>
                <w:sz w:val="12"/>
              </w:rPr>
              <w:t xml:space="preserve"> </w:t>
            </w:r>
            <w:r>
              <w:rPr>
                <w:rFonts w:ascii="Times New Roman;Times;serif" w:hAnsi="Times New Roman;Times;serif"/>
                <w:sz w:val="13"/>
              </w:rPr>
              <w:t>and RMB45</w:t>
            </w:r>
            <w:r>
              <w:rPr>
                <w:rFonts w:ascii="Times New Roman;Times;serif" w:hAnsi="Times New Roman;Times;serif"/>
                <w:sz w:val="12"/>
              </w:rPr>
              <w:t xml:space="preserve"> </w:t>
            </w:r>
            <w:r>
              <w:rPr>
                <w:rFonts w:ascii="Times New Roman;Times;serif" w:hAnsi="Times New Roman;Times;serif"/>
                <w:sz w:val="13"/>
              </w:rPr>
              <w:t>as of December 31, 2025 and June 30, 2026, respectively</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87</w:t>
            </w:r>
          </w:p>
        </w:tc>
        <w:tc>
          <w:tcPr>
            <w:tcW w:w="346" w:type="dxa"/>
            <w:tcBorders/>
            <w:shd w:fill="CCEEFF" w:val="clear"/>
            <w:vAlign w:val="center"/>
          </w:tcPr>
          <w:p>
            <w:pPr>
              <w:pStyle w:val="TableContents"/>
              <w:bidi w:val="0"/>
              <w:spacing w:before="0" w:after="1"/>
              <w:ind w:left="0" w:right="0" w:hanging="0"/>
              <w:jc w:val="left"/>
              <w:rPr/>
            </w:pPr>
            <w:r>
              <w:rPr/>
              <w:t> </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74</w:t>
            </w:r>
          </w:p>
        </w:tc>
        <w:tc>
          <w:tcPr>
            <w:tcW w:w="346" w:type="dxa"/>
            <w:tcBorders/>
            <w:shd w:fill="CCEEFF" w:val="clear"/>
            <w:vAlign w:val="center"/>
          </w:tcPr>
          <w:p>
            <w:pPr>
              <w:pStyle w:val="TableContents"/>
              <w:bidi w:val="0"/>
              <w:spacing w:before="0" w:after="1"/>
              <w:ind w:left="0" w:right="0" w:hanging="0"/>
              <w:jc w:val="left"/>
              <w:rPr/>
            </w:pPr>
            <w:r>
              <w:rPr/>
              <w:t> </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11</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3"/>
              </w:rPr>
              <w:t>Amounts due from related parties, net of allowance of RMB36</w:t>
            </w:r>
            <w:r>
              <w:rPr>
                <w:rFonts w:ascii="Times New Roman;Times;serif" w:hAnsi="Times New Roman;Times;serif"/>
                <w:caps w:val="false"/>
                <w:smallCaps w:val="false"/>
                <w:sz w:val="20"/>
              </w:rPr>
              <w:t xml:space="preserve"> </w:t>
            </w:r>
            <w:r>
              <w:rPr>
                <w:rFonts w:ascii="Times New Roman;Times;serif" w:hAnsi="Times New Roman;Times;serif"/>
                <w:b w:val="false"/>
                <w:i w:val="false"/>
                <w:caps w:val="false"/>
                <w:smallCaps w:val="false"/>
                <w:sz w:val="13"/>
              </w:rPr>
              <w:t>and RMB36</w:t>
            </w:r>
            <w:r>
              <w:rPr>
                <w:rFonts w:ascii="Times New Roman;Times;serif" w:hAnsi="Times New Roman;Times;serif"/>
                <w:caps w:val="false"/>
                <w:smallCaps w:val="false"/>
                <w:sz w:val="20"/>
              </w:rPr>
              <w:t xml:space="preserve"> </w:t>
            </w:r>
            <w:r>
              <w:rPr>
                <w:rFonts w:ascii="Times New Roman;Times;serif" w:hAnsi="Times New Roman;Times;serif"/>
                <w:b w:val="false"/>
                <w:i w:val="false"/>
                <w:caps w:val="false"/>
                <w:smallCaps w:val="false"/>
                <w:sz w:val="13"/>
              </w:rPr>
              <w:t>as of December 31, 2025 and June 30, 2026, respectively</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272</w:t>
            </w:r>
          </w:p>
        </w:tc>
        <w:tc>
          <w:tcPr>
            <w:tcW w:w="346" w:type="dxa"/>
            <w:tcBorders/>
            <w:vAlign w:val="center"/>
          </w:tcPr>
          <w:p>
            <w:pPr>
              <w:pStyle w:val="TableContents"/>
              <w:bidi w:val="0"/>
              <w:spacing w:before="0" w:after="1"/>
              <w:ind w:left="0" w:right="0" w:hanging="0"/>
              <w:jc w:val="left"/>
              <w:rPr/>
            </w:pPr>
            <w:r>
              <w:rPr/>
              <w:t> </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104</w:t>
            </w:r>
          </w:p>
        </w:tc>
        <w:tc>
          <w:tcPr>
            <w:tcW w:w="346"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15</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Inventories</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57</w:t>
            </w:r>
          </w:p>
        </w:tc>
        <w:tc>
          <w:tcPr>
            <w:tcW w:w="346" w:type="dxa"/>
            <w:tcBorders/>
            <w:shd w:fill="CCEEFF" w:val="clear"/>
            <w:vAlign w:val="center"/>
          </w:tcPr>
          <w:p>
            <w:pPr>
              <w:pStyle w:val="TableContents"/>
              <w:bidi w:val="0"/>
              <w:spacing w:before="0" w:after="1"/>
              <w:ind w:left="0" w:right="0" w:hanging="0"/>
              <w:jc w:val="left"/>
              <w:rPr/>
            </w:pPr>
            <w:r>
              <w:rPr/>
              <w:t> </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52</w:t>
            </w:r>
          </w:p>
        </w:tc>
        <w:tc>
          <w:tcPr>
            <w:tcW w:w="346" w:type="dxa"/>
            <w:tcBorders/>
            <w:shd w:fill="CCEEFF" w:val="clear"/>
            <w:vAlign w:val="center"/>
          </w:tcPr>
          <w:p>
            <w:pPr>
              <w:pStyle w:val="TableContents"/>
              <w:bidi w:val="0"/>
              <w:spacing w:before="0" w:after="1"/>
              <w:ind w:left="0" w:right="0" w:hanging="0"/>
              <w:jc w:val="left"/>
              <w:rPr/>
            </w:pPr>
            <w:r>
              <w:rPr/>
              <w:t> </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3"/>
              </w:rPr>
              <w:t>Other current assets, net of allowance of RMB8</w:t>
            </w:r>
            <w:r>
              <w:rPr>
                <w:rFonts w:ascii="Times New Roman;Times;serif" w:hAnsi="Times New Roman;Times;serif"/>
                <w:sz w:val="12"/>
              </w:rPr>
              <w:t xml:space="preserve"> </w:t>
            </w:r>
            <w:r>
              <w:rPr>
                <w:rFonts w:ascii="Times New Roman;Times;serif" w:hAnsi="Times New Roman;Times;serif"/>
                <w:sz w:val="13"/>
              </w:rPr>
              <w:t>and RMB8</w:t>
            </w:r>
            <w:r>
              <w:rPr>
                <w:rFonts w:ascii="Times New Roman;Times;serif" w:hAnsi="Times New Roman;Times;serif"/>
                <w:sz w:val="12"/>
              </w:rPr>
              <w:t xml:space="preserve"> </w:t>
            </w:r>
            <w:r>
              <w:rPr>
                <w:rFonts w:ascii="Times New Roman;Times;serif" w:hAnsi="Times New Roman;Times;serif"/>
                <w:sz w:val="13"/>
              </w:rPr>
              <w:t>as of December 31, 2025 and June 30, 2026, respectively</w:t>
            </w:r>
          </w:p>
        </w:tc>
        <w:tc>
          <w:tcPr>
            <w:tcW w:w="346" w:type="dxa"/>
            <w:tcBorders/>
            <w:vAlign w:val="center"/>
          </w:tcPr>
          <w:p>
            <w:pPr>
              <w:pStyle w:val="TableContents"/>
              <w:bidi w:val="0"/>
              <w:spacing w:before="0" w:after="1"/>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870</w:t>
            </w:r>
          </w:p>
        </w:tc>
        <w:tc>
          <w:tcPr>
            <w:tcW w:w="346" w:type="dxa"/>
            <w:tcBorders/>
            <w:vAlign w:val="center"/>
          </w:tcPr>
          <w:p>
            <w:pPr>
              <w:pStyle w:val="TableContents"/>
              <w:bidi w:val="0"/>
              <w:spacing w:before="0" w:after="1"/>
              <w:ind w:left="0" w:right="0" w:hanging="0"/>
              <w:jc w:val="left"/>
              <w:rPr/>
            </w:pPr>
            <w:r>
              <w:rPr/>
              <w:t> </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986</w:t>
            </w:r>
          </w:p>
        </w:tc>
        <w:tc>
          <w:tcPr>
            <w:tcW w:w="346" w:type="dxa"/>
            <w:tcBorders/>
            <w:vAlign w:val="center"/>
          </w:tcPr>
          <w:p>
            <w:pPr>
              <w:pStyle w:val="TableContents"/>
              <w:bidi w:val="0"/>
              <w:spacing w:before="0" w:after="1"/>
              <w:ind w:left="0" w:right="0" w:hanging="0"/>
              <w:jc w:val="left"/>
              <w:rPr/>
            </w:pPr>
            <w:r>
              <w:rPr/>
              <w:t> </w:t>
            </w:r>
          </w:p>
        </w:tc>
        <w:tc>
          <w:tcPr>
            <w:tcW w:w="7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145</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Total current assets</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17,435</w:t>
            </w:r>
          </w:p>
        </w:tc>
        <w:tc>
          <w:tcPr>
            <w:tcW w:w="346" w:type="dxa"/>
            <w:tcBorders/>
            <w:shd w:fill="CCEEFF" w:val="clear"/>
            <w:vAlign w:val="center"/>
          </w:tcPr>
          <w:p>
            <w:pPr>
              <w:pStyle w:val="TableContents"/>
              <w:bidi w:val="0"/>
              <w:spacing w:before="0" w:after="1"/>
              <w:ind w:left="0" w:right="0" w:hanging="0"/>
              <w:jc w:val="left"/>
              <w:rPr/>
            </w:pPr>
            <w:r>
              <w:rPr/>
              <w:t> </w:t>
            </w:r>
          </w:p>
        </w:tc>
        <w:tc>
          <w:tcPr>
            <w:tcW w:w="6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17,761</w:t>
            </w:r>
          </w:p>
        </w:tc>
        <w:tc>
          <w:tcPr>
            <w:tcW w:w="346" w:type="dxa"/>
            <w:tcBorders/>
            <w:shd w:fill="CCEEFF" w:val="clear"/>
            <w:vAlign w:val="center"/>
          </w:tcPr>
          <w:p>
            <w:pPr>
              <w:pStyle w:val="TableContents"/>
              <w:bidi w:val="0"/>
              <w:spacing w:before="0" w:after="1"/>
              <w:ind w:left="0" w:right="0" w:hanging="0"/>
              <w:jc w:val="left"/>
              <w:rPr/>
            </w:pPr>
            <w:r>
              <w:rPr/>
              <w:t> </w:t>
            </w:r>
          </w:p>
        </w:tc>
        <w:tc>
          <w:tcPr>
            <w:tcW w:w="7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2,618</w:t>
            </w:r>
          </w:p>
        </w:tc>
      </w:tr>
      <w:tr>
        <w:trPr/>
        <w:tc>
          <w:tcPr>
            <w:tcW w:w="6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pPr>
            <w:r>
              <w:rPr/>
              <w:t>​</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Property and equipment, net</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5,230</w:t>
            </w:r>
          </w:p>
        </w:tc>
        <w:tc>
          <w:tcPr>
            <w:tcW w:w="346"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4,989</w:t>
            </w:r>
          </w:p>
        </w:tc>
        <w:tc>
          <w:tcPr>
            <w:tcW w:w="346"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735</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Intangible assets, net</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5,028</w:t>
            </w:r>
          </w:p>
        </w:tc>
        <w:tc>
          <w:tcPr>
            <w:tcW w:w="346"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4,821</w:t>
            </w:r>
          </w:p>
        </w:tc>
        <w:tc>
          <w:tcPr>
            <w:tcW w:w="346"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711</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Operating lease 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24,983</w:t>
            </w:r>
          </w:p>
        </w:tc>
        <w:tc>
          <w:tcPr>
            <w:tcW w:w="346"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24,922</w:t>
            </w:r>
          </w:p>
        </w:tc>
        <w:tc>
          <w:tcPr>
            <w:tcW w:w="346"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3,673</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Finance lease right-of-use assets</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2,394</w:t>
            </w:r>
          </w:p>
        </w:tc>
        <w:tc>
          <w:tcPr>
            <w:tcW w:w="346"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2,275</w:t>
            </w:r>
          </w:p>
        </w:tc>
        <w:tc>
          <w:tcPr>
            <w:tcW w:w="346"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335</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Land use rights, net</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155</w:t>
            </w:r>
          </w:p>
        </w:tc>
        <w:tc>
          <w:tcPr>
            <w:tcW w:w="346"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152</w:t>
            </w:r>
          </w:p>
        </w:tc>
        <w:tc>
          <w:tcPr>
            <w:tcW w:w="346"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22</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3"/>
              </w:rPr>
              <w:t>Long-term investments, including available-for-sale debt securities measured at fair value of RMB175</w:t>
            </w:r>
            <w:r>
              <w:rPr>
                <w:rFonts w:ascii="Times New Roman;Times;serif" w:hAnsi="Times New Roman;Times;serif"/>
                <w:sz w:val="12"/>
              </w:rPr>
              <w:t xml:space="preserve"> </w:t>
            </w:r>
            <w:r>
              <w:rPr>
                <w:rFonts w:ascii="Times New Roman;Times;serif" w:hAnsi="Times New Roman;Times;serif"/>
                <w:sz w:val="13"/>
              </w:rPr>
              <w:t>and RMB158</w:t>
            </w:r>
            <w:r>
              <w:rPr>
                <w:rFonts w:ascii="Times New Roman;Times;serif" w:hAnsi="Times New Roman;Times;serif"/>
                <w:sz w:val="12"/>
              </w:rPr>
              <w:t xml:space="preserve"> </w:t>
            </w:r>
            <w:r>
              <w:rPr>
                <w:rFonts w:ascii="Times New Roman;Times;serif" w:hAnsi="Times New Roman;Times;serif"/>
                <w:sz w:val="13"/>
              </w:rPr>
              <w:t>as of December 31, 2025 and June 30, 2026, respectively</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1,369</w:t>
            </w:r>
          </w:p>
        </w:tc>
        <w:tc>
          <w:tcPr>
            <w:tcW w:w="346"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1,352</w:t>
            </w:r>
          </w:p>
        </w:tc>
        <w:tc>
          <w:tcPr>
            <w:tcW w:w="346"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199</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Goodwill</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5,428</w:t>
            </w:r>
          </w:p>
        </w:tc>
        <w:tc>
          <w:tcPr>
            <w:tcW w:w="346"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5,291</w:t>
            </w:r>
          </w:p>
        </w:tc>
        <w:tc>
          <w:tcPr>
            <w:tcW w:w="346"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780</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3"/>
              </w:rPr>
              <w:t>Amounts due from related parties, net of allowance of RMB1</w:t>
            </w:r>
            <w:r>
              <w:rPr>
                <w:rFonts w:ascii="Times New Roman;Times;serif" w:hAnsi="Times New Roman;Times;serif"/>
                <w:caps w:val="false"/>
                <w:smallCaps w:val="false"/>
                <w:sz w:val="20"/>
              </w:rPr>
              <w:t xml:space="preserve"> </w:t>
            </w:r>
            <w:r>
              <w:rPr>
                <w:rFonts w:ascii="Times New Roman;Times;serif" w:hAnsi="Times New Roman;Times;serif"/>
                <w:b w:val="false"/>
                <w:i w:val="false"/>
                <w:caps w:val="false"/>
                <w:smallCaps w:val="false"/>
                <w:sz w:val="13"/>
              </w:rPr>
              <w:t>and RMB1</w:t>
            </w:r>
            <w:r>
              <w:rPr>
                <w:rFonts w:ascii="Times New Roman;Times;serif" w:hAnsi="Times New Roman;Times;serif"/>
                <w:caps w:val="false"/>
                <w:smallCaps w:val="false"/>
                <w:sz w:val="20"/>
              </w:rPr>
              <w:t xml:space="preserve"> </w:t>
            </w:r>
            <w:r>
              <w:rPr>
                <w:rFonts w:ascii="Times New Roman;Times;serif" w:hAnsi="Times New Roman;Times;serif"/>
                <w:b w:val="false"/>
                <w:i w:val="false"/>
                <w:caps w:val="false"/>
                <w:smallCaps w:val="false"/>
                <w:sz w:val="13"/>
              </w:rPr>
              <w:t>as of December 31, 2025 and June 30, 2026, respectively</w:t>
            </w:r>
          </w:p>
        </w:tc>
        <w:tc>
          <w:tcPr>
            <w:tcW w:w="34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42</w:t>
            </w:r>
          </w:p>
        </w:tc>
        <w:tc>
          <w:tcPr>
            <w:tcW w:w="346"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35</w:t>
            </w:r>
          </w:p>
        </w:tc>
        <w:tc>
          <w:tcPr>
            <w:tcW w:w="346"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3"/>
              </w:rPr>
              <w:t>Loan receivables, net of allowance of RMB3</w:t>
            </w:r>
            <w:r>
              <w:rPr>
                <w:rFonts w:ascii="Times New Roman;Times;serif" w:hAnsi="Times New Roman;Times;serif"/>
                <w:sz w:val="12"/>
              </w:rPr>
              <w:t xml:space="preserve"> </w:t>
            </w:r>
            <w:r>
              <w:rPr>
                <w:rFonts w:ascii="Times New Roman;Times;serif" w:hAnsi="Times New Roman;Times;serif"/>
                <w:sz w:val="13"/>
              </w:rPr>
              <w:t>and RMB2</w:t>
            </w:r>
            <w:r>
              <w:rPr>
                <w:rFonts w:ascii="Times New Roman;Times;serif" w:hAnsi="Times New Roman;Times;serif"/>
                <w:sz w:val="12"/>
              </w:rPr>
              <w:t xml:space="preserve"> </w:t>
            </w:r>
            <w:r>
              <w:rPr>
                <w:rFonts w:ascii="Times New Roman;Times;serif" w:hAnsi="Times New Roman;Times;serif"/>
                <w:sz w:val="13"/>
              </w:rPr>
              <w:t>as of December 31, 2025 and June 30, 2026, respectively</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132</w:t>
            </w:r>
          </w:p>
        </w:tc>
        <w:tc>
          <w:tcPr>
            <w:tcW w:w="346"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113</w:t>
            </w:r>
          </w:p>
        </w:tc>
        <w:tc>
          <w:tcPr>
            <w:tcW w:w="346"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17</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3"/>
              </w:rPr>
              <w:t>Other assets, net of allowance of RMB13</w:t>
            </w:r>
            <w:r>
              <w:rPr>
                <w:rFonts w:ascii="Times New Roman;Times;serif" w:hAnsi="Times New Roman;Times;serif"/>
                <w:sz w:val="12"/>
              </w:rPr>
              <w:t xml:space="preserve"> </w:t>
            </w:r>
            <w:r>
              <w:rPr>
                <w:rFonts w:ascii="Times New Roman;Times;serif" w:hAnsi="Times New Roman;Times;serif"/>
                <w:sz w:val="13"/>
              </w:rPr>
              <w:t>and RMB13</w:t>
            </w:r>
            <w:r>
              <w:rPr>
                <w:rFonts w:ascii="Times New Roman;Times;serif" w:hAnsi="Times New Roman;Times;serif"/>
                <w:sz w:val="12"/>
              </w:rPr>
              <w:t xml:space="preserve"> </w:t>
            </w:r>
            <w:r>
              <w:rPr>
                <w:rFonts w:ascii="Times New Roman;Times;serif" w:hAnsi="Times New Roman;Times;serif"/>
                <w:sz w:val="13"/>
              </w:rPr>
              <w:t>as of December 31, 2025 and June 30, 2026, respectively</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752</w:t>
            </w:r>
          </w:p>
        </w:tc>
        <w:tc>
          <w:tcPr>
            <w:tcW w:w="346"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761</w:t>
            </w:r>
          </w:p>
        </w:tc>
        <w:tc>
          <w:tcPr>
            <w:tcW w:w="346"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113</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Deferred income tax assets</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1,157</w:t>
            </w:r>
          </w:p>
        </w:tc>
        <w:tc>
          <w:tcPr>
            <w:tcW w:w="346"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1,143</w:t>
            </w:r>
          </w:p>
        </w:tc>
        <w:tc>
          <w:tcPr>
            <w:tcW w:w="346"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168</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Assets held for sale</w:t>
            </w:r>
          </w:p>
        </w:tc>
        <w:tc>
          <w:tcPr>
            <w:tcW w:w="346" w:type="dxa"/>
            <w:tcBorders/>
            <w:vAlign w:val="center"/>
          </w:tcPr>
          <w:p>
            <w:pPr>
              <w:pStyle w:val="TableContents"/>
              <w:bidi w:val="0"/>
              <w:spacing w:before="0" w:after="1"/>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669</w:t>
            </w:r>
          </w:p>
        </w:tc>
        <w:tc>
          <w:tcPr>
            <w:tcW w:w="346" w:type="dxa"/>
            <w:tcBorders/>
            <w:vAlign w:val="center"/>
          </w:tcPr>
          <w:p>
            <w:pPr>
              <w:pStyle w:val="TableContents"/>
              <w:bidi w:val="0"/>
              <w:spacing w:before="0" w:after="1"/>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4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Total assets</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64,774</w:t>
            </w:r>
          </w:p>
        </w:tc>
        <w:tc>
          <w:tcPr>
            <w:tcW w:w="346" w:type="dxa"/>
            <w:tcBorders/>
            <w:shd w:fill="CCEEFF" w:val="clear"/>
            <w:vAlign w:val="center"/>
          </w:tcPr>
          <w:p>
            <w:pPr>
              <w:pStyle w:val="TableContents"/>
              <w:bidi w:val="0"/>
              <w:spacing w:before="0" w:after="1"/>
              <w:ind w:left="0" w:right="0" w:hanging="0"/>
              <w:jc w:val="left"/>
              <w:rPr/>
            </w:pPr>
            <w:r>
              <w:rPr/>
              <w:t>​</w:t>
            </w:r>
          </w:p>
        </w:tc>
        <w:tc>
          <w:tcPr>
            <w:tcW w:w="6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63,615</w:t>
            </w:r>
          </w:p>
        </w:tc>
        <w:tc>
          <w:tcPr>
            <w:tcW w:w="346" w:type="dxa"/>
            <w:tcBorders/>
            <w:shd w:fill="CCEEFF" w:val="clear"/>
            <w:vAlign w:val="center"/>
          </w:tcPr>
          <w:p>
            <w:pPr>
              <w:pStyle w:val="TableContents"/>
              <w:bidi w:val="0"/>
              <w:spacing w:before="0" w:after="1"/>
              <w:ind w:left="0" w:right="0" w:hanging="0"/>
              <w:jc w:val="left"/>
              <w:rPr/>
            </w:pPr>
            <w:r>
              <w:rPr/>
              <w:t>​</w:t>
            </w:r>
          </w:p>
        </w:tc>
        <w:tc>
          <w:tcPr>
            <w:tcW w:w="7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9,376</w:t>
            </w:r>
          </w:p>
        </w:tc>
      </w:tr>
      <w:tr>
        <w:trPr/>
        <w:tc>
          <w:tcPr>
            <w:tcW w:w="6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left"/>
              <w:rPr/>
            </w:pPr>
            <w:r>
              <w:rPr/>
              <w:t>​</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LIABILITIES AND EQUITY</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5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48" w:type="dxa"/>
            <w:tcBorders/>
            <w:shd w:fill="CCEEFF" w:val="clear"/>
            <w:vAlign w:val="center"/>
          </w:tcPr>
          <w:p>
            <w:pPr>
              <w:pStyle w:val="TableContents"/>
              <w:bidi w:val="0"/>
              <w:spacing w:before="0" w:after="1"/>
              <w:ind w:left="0" w:right="0" w:hanging="0"/>
              <w:jc w:val="right"/>
              <w:rPr/>
            </w:pPr>
            <w:r>
              <w:rPr/>
              <w:t>  ​</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Current liabilities:</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5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right"/>
              <w:rPr/>
            </w:pPr>
            <w:r>
              <w:rPr/>
              <w:t>  ​</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Short-term debt and current portion of long-term debt</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5,337</w:t>
            </w:r>
          </w:p>
        </w:tc>
        <w:tc>
          <w:tcPr>
            <w:tcW w:w="346"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911</w:t>
            </w:r>
          </w:p>
        </w:tc>
        <w:tc>
          <w:tcPr>
            <w:tcW w:w="346"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134</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Accounts payable</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1,020</w:t>
            </w:r>
          </w:p>
        </w:tc>
        <w:tc>
          <w:tcPr>
            <w:tcW w:w="346"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1,040</w:t>
            </w:r>
          </w:p>
        </w:tc>
        <w:tc>
          <w:tcPr>
            <w:tcW w:w="346"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153</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b w:val="false"/>
                <w:i w:val="false"/>
                <w:caps w:val="false"/>
                <w:smallCaps w:val="false"/>
                <w:sz w:val="13"/>
              </w:rPr>
            </w:pPr>
            <w:r>
              <w:rPr>
                <w:rFonts w:ascii="Times New Roman;Times;serif" w:hAnsi="Times New Roman;Times;serif"/>
                <w:b w:val="false"/>
                <w:i w:val="false"/>
                <w:caps w:val="false"/>
                <w:smallCaps w:val="false"/>
                <w:sz w:val="13"/>
              </w:rPr>
              <w:t>Amounts due to related parties</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129</w:t>
            </w:r>
          </w:p>
        </w:tc>
        <w:tc>
          <w:tcPr>
            <w:tcW w:w="346"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96</w:t>
            </w:r>
          </w:p>
        </w:tc>
        <w:tc>
          <w:tcPr>
            <w:tcW w:w="346"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14</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Salary and welfare payables</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1,188</w:t>
            </w:r>
          </w:p>
        </w:tc>
        <w:tc>
          <w:tcPr>
            <w:tcW w:w="346"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991</w:t>
            </w:r>
          </w:p>
        </w:tc>
        <w:tc>
          <w:tcPr>
            <w:tcW w:w="346"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146</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Deferred revenue</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1,823</w:t>
            </w:r>
          </w:p>
        </w:tc>
        <w:tc>
          <w:tcPr>
            <w:tcW w:w="346"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2,004</w:t>
            </w:r>
          </w:p>
        </w:tc>
        <w:tc>
          <w:tcPr>
            <w:tcW w:w="346"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296</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Operating lease liabilities, current</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3,478</w:t>
            </w:r>
          </w:p>
        </w:tc>
        <w:tc>
          <w:tcPr>
            <w:tcW w:w="346"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3,563</w:t>
            </w:r>
          </w:p>
        </w:tc>
        <w:tc>
          <w:tcPr>
            <w:tcW w:w="346"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525</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Finance lease liabilities, current</w:t>
            </w:r>
          </w:p>
        </w:tc>
        <w:tc>
          <w:tcPr>
            <w:tcW w:w="34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59</w:t>
            </w:r>
          </w:p>
        </w:tc>
        <w:tc>
          <w:tcPr>
            <w:tcW w:w="346"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62</w:t>
            </w:r>
          </w:p>
        </w:tc>
        <w:tc>
          <w:tcPr>
            <w:tcW w:w="346"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Accrued expenses and other current liabilities</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4,902</w:t>
            </w:r>
          </w:p>
        </w:tc>
        <w:tc>
          <w:tcPr>
            <w:tcW w:w="346" w:type="dxa"/>
            <w:tcBorders/>
            <w:vAlign w:val="center"/>
          </w:tcPr>
          <w:p>
            <w:pPr>
              <w:pStyle w:val="TableContents"/>
              <w:bidi w:val="0"/>
              <w:spacing w:before="0" w:after="1"/>
              <w:ind w:left="0" w:right="0" w:hanging="0"/>
              <w:jc w:val="left"/>
              <w:rPr/>
            </w:pPr>
            <w:r>
              <w:rPr/>
              <w:t> </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4,912</w:t>
            </w:r>
          </w:p>
        </w:tc>
        <w:tc>
          <w:tcPr>
            <w:tcW w:w="346"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725</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Income tax payable</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1,191</w:t>
            </w:r>
          </w:p>
        </w:tc>
        <w:tc>
          <w:tcPr>
            <w:tcW w:w="346" w:type="dxa"/>
            <w:tcBorders/>
            <w:shd w:fill="CCEEFF" w:val="clear"/>
            <w:vAlign w:val="center"/>
          </w:tcPr>
          <w:p>
            <w:pPr>
              <w:pStyle w:val="TableContents"/>
              <w:bidi w:val="0"/>
              <w:spacing w:before="0" w:after="1"/>
              <w:ind w:left="0" w:right="0" w:hanging="0"/>
              <w:jc w:val="left"/>
              <w:rPr/>
            </w:pPr>
            <w:r>
              <w:rPr/>
              <w:t> </w:t>
            </w:r>
          </w:p>
        </w:tc>
        <w:tc>
          <w:tcPr>
            <w:tcW w:w="6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1,122</w:t>
            </w:r>
          </w:p>
        </w:tc>
        <w:tc>
          <w:tcPr>
            <w:tcW w:w="346" w:type="dxa"/>
            <w:tcBorders/>
            <w:shd w:fill="CCEEFF" w:val="clear"/>
            <w:vAlign w:val="center"/>
          </w:tcPr>
          <w:p>
            <w:pPr>
              <w:pStyle w:val="TableContents"/>
              <w:bidi w:val="0"/>
              <w:spacing w:before="0" w:after="1"/>
              <w:ind w:left="0" w:right="0" w:hanging="0"/>
              <w:jc w:val="left"/>
              <w:rPr/>
            </w:pPr>
            <w:r>
              <w:rPr/>
              <w:t> </w:t>
            </w:r>
          </w:p>
        </w:tc>
        <w:tc>
          <w:tcPr>
            <w:tcW w:w="7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165</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Total current liabilities</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19,127</w:t>
            </w:r>
          </w:p>
        </w:tc>
        <w:tc>
          <w:tcPr>
            <w:tcW w:w="346" w:type="dxa"/>
            <w:tcBorders/>
            <w:vAlign w:val="center"/>
          </w:tcPr>
          <w:p>
            <w:pPr>
              <w:pStyle w:val="TableContents"/>
              <w:bidi w:val="0"/>
              <w:spacing w:before="0" w:after="1"/>
              <w:ind w:left="0" w:right="0" w:hanging="0"/>
              <w:jc w:val="left"/>
              <w:rPr/>
            </w:pPr>
            <w:r>
              <w:rPr/>
              <w:t> </w:t>
            </w:r>
          </w:p>
        </w:tc>
        <w:tc>
          <w:tcPr>
            <w:tcW w:w="657" w:type="dxa"/>
            <w:tcBorders/>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14,701</w:t>
            </w:r>
          </w:p>
        </w:tc>
        <w:tc>
          <w:tcPr>
            <w:tcW w:w="346"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2,167</w:t>
            </w:r>
          </w:p>
        </w:tc>
      </w:tr>
      <w:tr>
        <w:trPr/>
        <w:tc>
          <w:tcPr>
            <w:tcW w:w="65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left"/>
              <w:rPr/>
            </w:pPr>
            <w:r>
              <w:rPr/>
              <w:t>​</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Long-term debt</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479</w:t>
            </w:r>
          </w:p>
        </w:tc>
        <w:tc>
          <w:tcPr>
            <w:tcW w:w="346" w:type="dxa"/>
            <w:tcBorders/>
            <w:vAlign w:val="center"/>
          </w:tcPr>
          <w:p>
            <w:pPr>
              <w:pStyle w:val="TableContents"/>
              <w:bidi w:val="0"/>
              <w:spacing w:before="0" w:after="1"/>
              <w:ind w:left="0" w:right="0" w:hanging="0"/>
              <w:jc w:val="left"/>
              <w:rPr/>
            </w:pPr>
            <w:r>
              <w:rPr/>
              <w:t> </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3,315</w:t>
            </w:r>
          </w:p>
        </w:tc>
        <w:tc>
          <w:tcPr>
            <w:tcW w:w="346"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489</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Operating lease liabilities, non-current</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23,653</w:t>
            </w:r>
          </w:p>
        </w:tc>
        <w:tc>
          <w:tcPr>
            <w:tcW w:w="346"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23,452</w:t>
            </w:r>
          </w:p>
        </w:tc>
        <w:tc>
          <w:tcPr>
            <w:tcW w:w="346"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3,456</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Finance lease liabilities, non-current</w:t>
            </w:r>
          </w:p>
        </w:tc>
        <w:tc>
          <w:tcPr>
            <w:tcW w:w="34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3,063</w:t>
            </w:r>
          </w:p>
        </w:tc>
        <w:tc>
          <w:tcPr>
            <w:tcW w:w="346"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2,931</w:t>
            </w:r>
          </w:p>
        </w:tc>
        <w:tc>
          <w:tcPr>
            <w:tcW w:w="346"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432</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Deferred revenue</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1,602</w:t>
            </w:r>
          </w:p>
        </w:tc>
        <w:tc>
          <w:tcPr>
            <w:tcW w:w="346"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1,674</w:t>
            </w:r>
          </w:p>
        </w:tc>
        <w:tc>
          <w:tcPr>
            <w:tcW w:w="346"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247</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Other long-term liabilities</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1,925</w:t>
            </w:r>
          </w:p>
        </w:tc>
        <w:tc>
          <w:tcPr>
            <w:tcW w:w="346"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2,082</w:t>
            </w:r>
          </w:p>
        </w:tc>
        <w:tc>
          <w:tcPr>
            <w:tcW w:w="346"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306</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Retirement benefit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109</w:t>
            </w:r>
          </w:p>
        </w:tc>
        <w:tc>
          <w:tcPr>
            <w:tcW w:w="346"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100</w:t>
            </w:r>
          </w:p>
        </w:tc>
        <w:tc>
          <w:tcPr>
            <w:tcW w:w="346"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15</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Deferred income tax liabilities</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1,187</w:t>
            </w:r>
          </w:p>
        </w:tc>
        <w:tc>
          <w:tcPr>
            <w:tcW w:w="346"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1,125</w:t>
            </w:r>
          </w:p>
        </w:tc>
        <w:tc>
          <w:tcPr>
            <w:tcW w:w="346"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166</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Liabilities held for sale</w:t>
            </w:r>
          </w:p>
        </w:tc>
        <w:tc>
          <w:tcPr>
            <w:tcW w:w="346" w:type="dxa"/>
            <w:tcBorders/>
            <w:shd w:fill="CCEEFF" w:val="clear"/>
            <w:vAlign w:val="center"/>
          </w:tcPr>
          <w:p>
            <w:pPr>
              <w:pStyle w:val="TableContents"/>
              <w:bidi w:val="0"/>
              <w:spacing w:before="0" w:after="1"/>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671</w:t>
            </w:r>
          </w:p>
        </w:tc>
        <w:tc>
          <w:tcPr>
            <w:tcW w:w="346" w:type="dxa"/>
            <w:tcBorders/>
            <w:shd w:fill="CCEEFF" w:val="clear"/>
            <w:vAlign w:val="center"/>
          </w:tcPr>
          <w:p>
            <w:pPr>
              <w:pStyle w:val="TableContents"/>
              <w:bidi w:val="0"/>
              <w:spacing w:before="0" w:after="1"/>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Total liabilities</w:t>
            </w:r>
          </w:p>
        </w:tc>
        <w:tc>
          <w:tcPr>
            <w:tcW w:w="346" w:type="dxa"/>
            <w:tcBorders/>
            <w:vAlign w:val="center"/>
          </w:tcPr>
          <w:p>
            <w:pPr>
              <w:pStyle w:val="TableContents"/>
              <w:bidi w:val="0"/>
              <w:spacing w:before="0" w:after="1"/>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51,816</w:t>
            </w:r>
          </w:p>
        </w:tc>
        <w:tc>
          <w:tcPr>
            <w:tcW w:w="346" w:type="dxa"/>
            <w:tcBorders/>
            <w:vAlign w:val="center"/>
          </w:tcPr>
          <w:p>
            <w:pPr>
              <w:pStyle w:val="TableContents"/>
              <w:bidi w:val="0"/>
              <w:spacing w:before="0" w:after="1"/>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49,380</w:t>
            </w:r>
          </w:p>
        </w:tc>
        <w:tc>
          <w:tcPr>
            <w:tcW w:w="346" w:type="dxa"/>
            <w:tcBorders/>
            <w:vAlign w:val="center"/>
          </w:tcPr>
          <w:p>
            <w:pPr>
              <w:pStyle w:val="TableContents"/>
              <w:bidi w:val="0"/>
              <w:spacing w:before="0" w:after="1"/>
              <w:ind w:left="0" w:right="0" w:hanging="0"/>
              <w:jc w:val="left"/>
              <w:rPr/>
            </w:pPr>
            <w:r>
              <w:rPr/>
              <w:t>​</w:t>
            </w:r>
          </w:p>
        </w:tc>
        <w:tc>
          <w:tcPr>
            <w:tcW w:w="7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7,278</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Commitments and contingencies (Note 18)</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65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48" w:type="dxa"/>
            <w:tcBorders/>
            <w:shd w:fill="CCEEFF" w:val="clear"/>
            <w:vAlign w:val="center"/>
          </w:tcPr>
          <w:p>
            <w:pPr>
              <w:pStyle w:val="TableContents"/>
              <w:bidi w:val="0"/>
              <w:spacing w:before="0" w:after="1"/>
              <w:ind w:left="0" w:right="0" w:hanging="0"/>
              <w:jc w:val="right"/>
              <w:rPr/>
            </w:pPr>
            <w:r>
              <w:rPr/>
              <w:t>  ​</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Equity:</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w:t>
            </w:r>
          </w:p>
        </w:tc>
        <w:tc>
          <w:tcPr>
            <w:tcW w:w="65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48" w:type="dxa"/>
            <w:tcBorders/>
            <w:vAlign w:val="center"/>
          </w:tcPr>
          <w:p>
            <w:pPr>
              <w:pStyle w:val="TableContents"/>
              <w:bidi w:val="0"/>
              <w:spacing w:before="0" w:after="1"/>
              <w:ind w:left="0" w:right="0" w:hanging="0"/>
              <w:jc w:val="right"/>
              <w:rPr/>
            </w:pPr>
            <w:r>
              <w:rPr/>
              <w:t>  ​</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3"/>
              </w:rPr>
              <w:t>Ordinary shares (US$0.00001</w:t>
            </w:r>
            <w:r>
              <w:rPr>
                <w:rFonts w:ascii="Times New Roman;Times;serif" w:hAnsi="Times New Roman;Times;serif"/>
                <w:sz w:val="12"/>
              </w:rPr>
              <w:t xml:space="preserve"> </w:t>
            </w:r>
            <w:r>
              <w:rPr>
                <w:rFonts w:ascii="Times New Roman;Times;serif" w:hAnsi="Times New Roman;Times;serif"/>
                <w:sz w:val="13"/>
              </w:rPr>
              <w:t>par value per share; 80,000,000,000</w:t>
            </w:r>
            <w:r>
              <w:rPr>
                <w:rFonts w:ascii="Times New Roman;Times;serif" w:hAnsi="Times New Roman;Times;serif"/>
                <w:sz w:val="12"/>
              </w:rPr>
              <w:t xml:space="preserve"> </w:t>
            </w:r>
            <w:r>
              <w:rPr>
                <w:rFonts w:ascii="Times New Roman;Times;serif" w:hAnsi="Times New Roman;Times;serif"/>
                <w:sz w:val="13"/>
              </w:rPr>
              <w:t>shares authorized; 3,098,323,810</w:t>
            </w:r>
            <w:r>
              <w:rPr>
                <w:rFonts w:ascii="Times New Roman;Times;serif" w:hAnsi="Times New Roman;Times;serif"/>
                <w:sz w:val="12"/>
              </w:rPr>
              <w:t xml:space="preserve"> </w:t>
            </w:r>
            <w:r>
              <w:rPr>
                <w:rFonts w:ascii="Times New Roman;Times;serif" w:hAnsi="Times New Roman;Times;serif"/>
                <w:sz w:val="13"/>
              </w:rPr>
              <w:t>and 3,233,044,130</w:t>
            </w:r>
            <w:r>
              <w:rPr>
                <w:rFonts w:ascii="Times New Roman;Times;serif" w:hAnsi="Times New Roman;Times;serif"/>
                <w:sz w:val="12"/>
              </w:rPr>
              <w:t xml:space="preserve"> </w:t>
            </w:r>
            <w:r>
              <w:rPr>
                <w:rFonts w:ascii="Times New Roman;Times;serif" w:hAnsi="Times New Roman;Times;serif"/>
                <w:sz w:val="13"/>
              </w:rPr>
              <w:t>shares issued as of December 31, 2025 and June 30, 2026, 3,071,525,690</w:t>
            </w:r>
            <w:r>
              <w:rPr>
                <w:rFonts w:ascii="Times New Roman;Times;serif" w:hAnsi="Times New Roman;Times;serif"/>
                <w:sz w:val="12"/>
              </w:rPr>
              <w:t xml:space="preserve"> </w:t>
            </w:r>
            <w:r>
              <w:rPr>
                <w:rFonts w:ascii="Times New Roman;Times;serif" w:hAnsi="Times New Roman;Times;serif"/>
                <w:sz w:val="13"/>
              </w:rPr>
              <w:t>and 3,154,059,870</w:t>
            </w:r>
            <w:r>
              <w:rPr>
                <w:rFonts w:ascii="Times New Roman;Times;serif" w:hAnsi="Times New Roman;Times;serif"/>
                <w:sz w:val="12"/>
              </w:rPr>
              <w:t xml:space="preserve"> </w:t>
            </w:r>
            <w:r>
              <w:rPr>
                <w:rFonts w:ascii="Times New Roman;Times;serif" w:hAnsi="Times New Roman;Times;serif"/>
                <w:sz w:val="13"/>
              </w:rPr>
              <w:t>shares outstanding as of December 31, 2025 and June 30, 2026, respectively)</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0</w:t>
            </w:r>
          </w:p>
        </w:tc>
        <w:tc>
          <w:tcPr>
            <w:tcW w:w="346"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0</w:t>
            </w:r>
          </w:p>
        </w:tc>
        <w:tc>
          <w:tcPr>
            <w:tcW w:w="346"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0</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sz w:val="12"/>
              </w:rPr>
            </w:pPr>
            <w:r>
              <w:rPr>
                <w:rFonts w:ascii="Times New Roman;Times;serif" w:hAnsi="Times New Roman;Times;serif"/>
                <w:sz w:val="13"/>
              </w:rPr>
              <w:t>Treasury shares (26,798,120</w:t>
            </w:r>
            <w:r>
              <w:rPr>
                <w:rFonts w:ascii="Times New Roman;Times;serif" w:hAnsi="Times New Roman;Times;serif"/>
                <w:sz w:val="12"/>
              </w:rPr>
              <w:t xml:space="preserve"> </w:t>
            </w:r>
            <w:r>
              <w:rPr>
                <w:rFonts w:ascii="Times New Roman;Times;serif" w:hAnsi="Times New Roman;Times;serif"/>
                <w:sz w:val="13"/>
              </w:rPr>
              <w:t>and 78,984,260</w:t>
            </w:r>
            <w:r>
              <w:rPr>
                <w:rFonts w:ascii="Times New Roman;Times;serif" w:hAnsi="Times New Roman;Times;serif"/>
                <w:sz w:val="12"/>
              </w:rPr>
              <w:t xml:space="preserve"> </w:t>
            </w:r>
            <w:r>
              <w:rPr>
                <w:rFonts w:ascii="Times New Roman;Times;serif" w:hAnsi="Times New Roman;Times;serif"/>
                <w:sz w:val="13"/>
              </w:rPr>
              <w:t>shares as of December 31, 2025 and June 30, 2026, respectively)</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(662)</w:t>
            </w:r>
          </w:p>
        </w:tc>
        <w:tc>
          <w:tcPr>
            <w:tcW w:w="346"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(2,303)</w:t>
            </w:r>
          </w:p>
        </w:tc>
        <w:tc>
          <w:tcPr>
            <w:tcW w:w="346"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(339)</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Additional paid-in capital</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9,653</w:t>
            </w:r>
          </w:p>
        </w:tc>
        <w:tc>
          <w:tcPr>
            <w:tcW w:w="346"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13,132</w:t>
            </w:r>
          </w:p>
        </w:tc>
        <w:tc>
          <w:tcPr>
            <w:tcW w:w="346" w:type="dxa"/>
            <w:tcBorders/>
            <w:shd w:fill="CCEEFF" w:val="clear"/>
            <w:vAlign w:val="center"/>
          </w:tcPr>
          <w:p>
            <w:pPr>
              <w:pStyle w:val="TableContents"/>
              <w:bidi w:val="0"/>
              <w:spacing w:before="0" w:after="1"/>
              <w:ind w:left="0" w:right="0" w:hanging="0"/>
              <w:jc w:val="left"/>
              <w:rPr/>
            </w:pPr>
            <w:r>
              <w:rPr/>
              <w:t>​</w:t>
            </w:r>
          </w:p>
        </w:tc>
        <w:tc>
          <w:tcPr>
            <w:tcW w:w="748" w:type="dxa"/>
            <w:tcBorders/>
            <w:shd w:fill="CCEEFF" w:val="cle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1,935</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Retained earnings</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3,614</w:t>
            </w:r>
          </w:p>
        </w:tc>
        <w:tc>
          <w:tcPr>
            <w:tcW w:w="346"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3,133</w:t>
            </w:r>
          </w:p>
        </w:tc>
        <w:tc>
          <w:tcPr>
            <w:tcW w:w="346"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462</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Accumulated other comprehensive income</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199</w:t>
            </w:r>
          </w:p>
        </w:tc>
        <w:tc>
          <w:tcPr>
            <w:tcW w:w="346" w:type="dxa"/>
            <w:tcBorders/>
            <w:shd w:fill="CCEEFF" w:val="clear"/>
            <w:vAlign w:val="center"/>
          </w:tcPr>
          <w:p>
            <w:pPr>
              <w:pStyle w:val="TableContents"/>
              <w:bidi w:val="0"/>
              <w:spacing w:before="0" w:after="1"/>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118</w:t>
            </w:r>
          </w:p>
        </w:tc>
        <w:tc>
          <w:tcPr>
            <w:tcW w:w="346" w:type="dxa"/>
            <w:tcBorders/>
            <w:shd w:fill="CCEEFF" w:val="clear"/>
            <w:vAlign w:val="center"/>
          </w:tcPr>
          <w:p>
            <w:pPr>
              <w:pStyle w:val="TableContents"/>
              <w:bidi w:val="0"/>
              <w:spacing w:before="0" w:after="1"/>
              <w:ind w:left="0" w:right="0" w:hanging="0"/>
              <w:jc w:val="left"/>
              <w:rPr/>
            </w:pPr>
            <w:r>
              <w:rPr/>
              <w:t>​</w:t>
            </w:r>
          </w:p>
        </w:tc>
        <w:tc>
          <w:tcPr>
            <w:tcW w:w="7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17</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Total H World Group Limited shareholders’ equity</w:t>
            </w:r>
          </w:p>
        </w:tc>
        <w:tc>
          <w:tcPr>
            <w:tcW w:w="346" w:type="dxa"/>
            <w:tcBorders/>
            <w:vAlign w:val="center"/>
          </w:tcPr>
          <w:p>
            <w:pPr>
              <w:pStyle w:val="TableContents"/>
              <w:bidi w:val="0"/>
              <w:spacing w:before="0" w:after="1"/>
              <w:ind w:left="0" w:right="0" w:hanging="0"/>
              <w:jc w:val="left"/>
              <w:rPr/>
            </w:pPr>
            <w:r>
              <w:rPr/>
              <w:t> </w:t>
            </w:r>
          </w:p>
        </w:tc>
        <w:tc>
          <w:tcPr>
            <w:tcW w:w="1216" w:type="dxa"/>
            <w:tcBorders/>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12,804</w:t>
            </w:r>
          </w:p>
        </w:tc>
        <w:tc>
          <w:tcPr>
            <w:tcW w:w="346"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14,080</w:t>
            </w:r>
          </w:p>
        </w:tc>
        <w:tc>
          <w:tcPr>
            <w:tcW w:w="346" w:type="dxa"/>
            <w:tcBorders/>
            <w:vAlign w:val="center"/>
          </w:tcPr>
          <w:p>
            <w:pPr>
              <w:pStyle w:val="TableContents"/>
              <w:bidi w:val="0"/>
              <w:spacing w:before="0" w:after="1"/>
              <w:ind w:left="0" w:right="0" w:hanging="0"/>
              <w:jc w:val="left"/>
              <w:rPr/>
            </w:pPr>
            <w:r>
              <w:rPr/>
              <w:t>​</w:t>
            </w:r>
          </w:p>
        </w:tc>
        <w:tc>
          <w:tcPr>
            <w:tcW w:w="748" w:type="dxa"/>
            <w:tcBorders/>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2,075</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3"/>
              </w:rPr>
            </w:pPr>
            <w:r>
              <w:rPr>
                <w:rFonts w:ascii="Times New Roman;Times;serif" w:hAnsi="Times New Roman;Times;serif"/>
                <w:sz w:val="13"/>
              </w:rPr>
              <w:t>Noncontrolling interest</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154</w:t>
            </w:r>
          </w:p>
        </w:tc>
        <w:tc>
          <w:tcPr>
            <w:tcW w:w="346" w:type="dxa"/>
            <w:tcBorders/>
            <w:shd w:fill="CCEEFF" w:val="clear"/>
            <w:vAlign w:val="center"/>
          </w:tcPr>
          <w:p>
            <w:pPr>
              <w:pStyle w:val="TableContents"/>
              <w:bidi w:val="0"/>
              <w:spacing w:before="0" w:after="1"/>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155</w:t>
            </w:r>
          </w:p>
        </w:tc>
        <w:tc>
          <w:tcPr>
            <w:tcW w:w="346" w:type="dxa"/>
            <w:tcBorders/>
            <w:shd w:fill="CCEEFF" w:val="clear"/>
            <w:vAlign w:val="center"/>
          </w:tcPr>
          <w:p>
            <w:pPr>
              <w:pStyle w:val="TableContents"/>
              <w:bidi w:val="0"/>
              <w:spacing w:before="0" w:after="1"/>
              <w:ind w:left="0" w:right="0" w:hanging="0"/>
              <w:jc w:val="left"/>
              <w:rPr/>
            </w:pPr>
            <w:r>
              <w:rPr/>
              <w:t>​</w:t>
            </w:r>
          </w:p>
        </w:tc>
        <w:tc>
          <w:tcPr>
            <w:tcW w:w="7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3"/>
              </w:rPr>
            </w:pPr>
            <w:r>
              <w:rPr>
                <w:rFonts w:ascii="Times New Roman;Times;serif" w:hAnsi="Times New Roman;Times;serif"/>
                <w:sz w:val="13"/>
              </w:rPr>
              <w:t>23</w:t>
            </w:r>
          </w:p>
        </w:tc>
      </w:tr>
      <w:tr>
        <w:trPr/>
        <w:tc>
          <w:tcPr>
            <w:tcW w:w="6546" w:type="dxa"/>
            <w:tcBorders/>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Total equity</w:t>
            </w:r>
          </w:p>
        </w:tc>
        <w:tc>
          <w:tcPr>
            <w:tcW w:w="346" w:type="dxa"/>
            <w:tcBorders/>
            <w:vAlign w:val="center"/>
          </w:tcPr>
          <w:p>
            <w:pPr>
              <w:pStyle w:val="TableContents"/>
              <w:bidi w:val="0"/>
              <w:spacing w:before="0" w:after="1"/>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12,958</w:t>
            </w:r>
          </w:p>
        </w:tc>
        <w:tc>
          <w:tcPr>
            <w:tcW w:w="346" w:type="dxa"/>
            <w:tcBorders/>
            <w:vAlign w:val="center"/>
          </w:tcPr>
          <w:p>
            <w:pPr>
              <w:pStyle w:val="TableContents"/>
              <w:bidi w:val="0"/>
              <w:spacing w:before="0" w:after="1"/>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14,235</w:t>
            </w:r>
          </w:p>
        </w:tc>
        <w:tc>
          <w:tcPr>
            <w:tcW w:w="346" w:type="dxa"/>
            <w:tcBorders/>
            <w:vAlign w:val="center"/>
          </w:tcPr>
          <w:p>
            <w:pPr>
              <w:pStyle w:val="TableContents"/>
              <w:bidi w:val="0"/>
              <w:spacing w:before="0" w:after="1"/>
              <w:ind w:left="0" w:right="0" w:hanging="0"/>
              <w:jc w:val="left"/>
              <w:rPr/>
            </w:pPr>
            <w:r>
              <w:rPr/>
              <w:t>​</w:t>
            </w:r>
          </w:p>
        </w:tc>
        <w:tc>
          <w:tcPr>
            <w:tcW w:w="7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2,098</w:t>
            </w:r>
          </w:p>
        </w:tc>
      </w:tr>
      <w:tr>
        <w:trPr/>
        <w:tc>
          <w:tcPr>
            <w:tcW w:w="654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3"/>
              </w:rPr>
            </w:pPr>
            <w:r>
              <w:rPr>
                <w:rFonts w:ascii="Times New Roman;Times;serif" w:hAnsi="Times New Roman;Times;serif"/>
                <w:b/>
                <w:sz w:val="13"/>
              </w:rPr>
              <w:t>Total liabilities and equity</w:t>
            </w:r>
          </w:p>
        </w:tc>
        <w:tc>
          <w:tcPr>
            <w:tcW w:w="346" w:type="dxa"/>
            <w:tcBorders/>
            <w:shd w:fill="CCEEFF" w:val="clear"/>
            <w:vAlign w:val="center"/>
          </w:tcPr>
          <w:p>
            <w:pPr>
              <w:pStyle w:val="TableContents"/>
              <w:bidi w:val="0"/>
              <w:spacing w:before="0" w:after="1"/>
              <w:ind w:left="0" w:right="0" w:hanging="0"/>
              <w:jc w:val="left"/>
              <w:rPr/>
            </w:pPr>
            <w:r>
              <w:rPr/>
              <w:t> </w:t>
            </w:r>
          </w:p>
        </w:tc>
        <w:tc>
          <w:tcPr>
            <w:tcW w:w="12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64,774</w:t>
            </w:r>
          </w:p>
        </w:tc>
        <w:tc>
          <w:tcPr>
            <w:tcW w:w="346" w:type="dxa"/>
            <w:tcBorders/>
            <w:shd w:fill="CCEEFF" w:val="clear"/>
            <w:vAlign w:val="center"/>
          </w:tcPr>
          <w:p>
            <w:pPr>
              <w:pStyle w:val="TableContents"/>
              <w:bidi w:val="0"/>
              <w:spacing w:before="0" w:after="1"/>
              <w:ind w:left="0" w:right="0" w:hanging="0"/>
              <w:jc w:val="left"/>
              <w:rPr/>
            </w:pPr>
            <w:r>
              <w:rPr/>
              <w:t>​</w:t>
            </w:r>
          </w:p>
        </w:tc>
        <w:tc>
          <w:tcPr>
            <w:tcW w:w="6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3"/>
              </w:rPr>
            </w:pPr>
            <w:r>
              <w:rPr>
                <w:rFonts w:ascii="Times New Roman;Times;serif" w:hAnsi="Times New Roman;Times;serif"/>
                <w:b/>
                <w:sz w:val="13"/>
              </w:rPr>
              <w:t>63,615</w:t>
            </w:r>
          </w:p>
        </w:tc>
        <w:tc>
          <w:tcPr>
            <w:tcW w:w="346" w:type="dxa"/>
            <w:tcBorders/>
            <w:shd w:fill="CCEEFF" w:val="clear"/>
            <w:vAlign w:val="center"/>
          </w:tcPr>
          <w:p>
            <w:pPr>
              <w:pStyle w:val="TableContents"/>
              <w:bidi w:val="0"/>
              <w:spacing w:before="0" w:after="1"/>
              <w:ind w:left="0" w:right="0" w:hanging="0"/>
              <w:jc w:val="left"/>
              <w:rPr/>
            </w:pPr>
            <w:r>
              <w:rPr/>
              <w:t>​</w:t>
            </w:r>
          </w:p>
        </w:tc>
        <w:tc>
          <w:tcPr>
            <w:tcW w:w="748" w:type="dxa"/>
            <w:tcBorders>
              <w:bottom w:val="double" w:sz="6" w:space="0" w:color="000000"/>
            </w:tcBorders>
            <w:shd w:fill="CCEEFF" w:val="clear"/>
            <w:tcMar>
              <w:bottom w:w="28" w:type="dxa"/>
            </w:tcMar>
            <w:vAlign w:val="center"/>
          </w:tcPr>
          <w:p>
            <w:pPr>
              <w:pStyle w:val="TableContents"/>
              <w:bidi w:val="0"/>
              <w:spacing w:before="0" w:after="1"/>
              <w:ind w:left="0" w:right="45" w:hanging="0"/>
              <w:jc w:val="right"/>
              <w:rPr>
                <w:rFonts w:ascii="Times New Roman;Times;serif" w:hAnsi="Times New Roman;Times;serif"/>
                <w:b/>
                <w:sz w:val="13"/>
              </w:rPr>
            </w:pPr>
            <w:r>
              <w:rPr>
                <w:rFonts w:ascii="Times New Roman;Times;serif" w:hAnsi="Times New Roman;Times;serif"/>
                <w:b/>
                <w:sz w:val="13"/>
              </w:rPr>
              <w:t>9,376</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6" w:name="_633adfe2_a1bd_454b_a3e1_2f4d01ea14df"/>
      <w:bookmarkEnd w:id="136"/>
      <w:r>
        <w:rPr>
          <w:rFonts w:ascii="Times New Roman;Times;serif" w:hAnsi="Times New Roman;Times;serif"/>
          <w:b/>
          <w:sz w:val="20"/>
        </w:rPr>
        <w:t>H WORLD GROUP LIMITED</w:t>
      </w:r>
    </w:p>
    <w:p>
      <w:pPr>
        <w:pStyle w:val="TextBody"/>
        <w:bidi w:val="0"/>
        <w:spacing w:before="0" w:after="0"/>
        <w:ind w:left="0" w:right="0" w:hanging="0"/>
        <w:jc w:val="center"/>
        <w:rPr>
          <w:rFonts w:ascii="Times New Roman;Times;serif" w:hAnsi="Times New Roman;Times;serif"/>
          <w:b/>
          <w:sz w:val="20"/>
        </w:rPr>
      </w:pPr>
      <w:bookmarkStart w:id="137" w:name="CONSOLIDATEDSTATEMENTSOFCOMPREHENSIVEINC"/>
      <w:bookmarkEnd w:id="137"/>
      <w:r>
        <w:rPr>
          <w:rFonts w:ascii="Times New Roman;Times;serif" w:hAnsi="Times New Roman;Times;serif"/>
          <w:b/>
          <w:sz w:val="20"/>
        </w:rPr>
        <w:t>UNAUDITED INTERIM CONDENSED CONSOLIDATED STATEMENTS OF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(Renminbi in millions, except share and per share data, unless otherwise stated)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38" w:name="Tc_iBSkxyc5PEeNPHjf8pYJNQ_43_0"/>
      <w:bookmarkStart w:id="139" w:name="Tc_iUVUn9yub0G1wbJB2HmdUg_42_0"/>
      <w:bookmarkStart w:id="140" w:name="Tc_jbhJwLfRhEKaa2tbk-meFA_41_0"/>
      <w:bookmarkStart w:id="141" w:name="Tc_YgFKzheFiEa7zC2apyZYsA_40_0"/>
      <w:bookmarkStart w:id="142" w:name="Tc_BpCJiVIG3kCNLSPgKgZ6ww_39_0"/>
      <w:bookmarkStart w:id="143" w:name="Tc_BUK3a2mbt0C7yQp3aiQ2sw_38_0"/>
      <w:bookmarkStart w:id="144" w:name="Tc_G7V7angddE2NWgD_aoLE4w_36_0"/>
      <w:bookmarkStart w:id="145" w:name="Tc_WOMbmy_8RUeFOXKtQkjmTw_35_0"/>
      <w:bookmarkStart w:id="146" w:name="Tc_IFm_8cn5nEeGseRolGV4pA_34_0"/>
      <w:bookmarkStart w:id="147" w:name="Tc_xj4jNi3wWkanhDlPG56-BA_33_0"/>
      <w:bookmarkStart w:id="148" w:name="Tc_DPpuvGIHMk-t5o1_jPIGag_32_6"/>
      <w:bookmarkStart w:id="149" w:name="Tc_wB7hyauw4E2NuBEIjntljg_32_4"/>
      <w:bookmarkStart w:id="150" w:name="Tc_295YWZ6ZNUmeGX0I_vV8LQ_32_0"/>
      <w:bookmarkStart w:id="151" w:name="Tc_0jI1MFvDmkORyOC_LIA51g_31_0"/>
      <w:bookmarkStart w:id="152" w:name="Tc_EUuZZYNTLEuxATbsp9XNuQ_29_0"/>
      <w:bookmarkStart w:id="153" w:name="Tc_ihMMyFDySk2JQpJNSNVUjw_28_0"/>
      <w:bookmarkStart w:id="154" w:name="Tc_ZDjp7vUa5EuPO9W68GKbXA_27_0"/>
      <w:bookmarkStart w:id="155" w:name="Tc_f_TR_5TVh0Kyj86i3Agbdg_26_0"/>
      <w:bookmarkStart w:id="156" w:name="Tc_NVQrrhgcD0SVf9_KTMlzIQ_25_0"/>
      <w:bookmarkStart w:id="157" w:name="Tc_wExD756xDEy9Yz49asD52g_24_0"/>
      <w:bookmarkStart w:id="158" w:name="Tc_RKsDueac_0Oq3lh1TK_FaQ_23_0"/>
      <w:bookmarkStart w:id="159" w:name="Tc_4P5G9DRdzEmVVNuJcLlvUA_22_0"/>
      <w:bookmarkStart w:id="160" w:name="Tc_9gzYSJapW0a0HdWBLMhIRA_21_0"/>
      <w:bookmarkStart w:id="161" w:name="Tc_GrBnyGytQEGMvVWMJBUo0g_20_0"/>
      <w:bookmarkStart w:id="162" w:name="Tc_ahNkq1IAz0O6AnWJ09Qylw_19_0"/>
      <w:bookmarkStart w:id="163" w:name="Tc_hNnzCtvET0Gg6pqiJgze0Q_18_0"/>
      <w:bookmarkStart w:id="164" w:name="Tc_SQrqh788Dk6BtHVucQYrOA_17_0"/>
      <w:bookmarkStart w:id="165" w:name="Tc_g4ZGABMP3kWz0fF4REl4Nw_16_0"/>
      <w:bookmarkStart w:id="166" w:name="Tc_jiOXBG1Rf0GCLEHR_07CUw_15_0"/>
      <w:bookmarkStart w:id="167" w:name="Tc_HLuFaSE65U232baCoC47dw_14_0"/>
      <w:bookmarkStart w:id="168" w:name="Tc_5WOeuW_bB0GnEsqhOwm5oQ_13_0"/>
      <w:bookmarkStart w:id="169" w:name="Tc_OYkaTaORp06sU_RY-QvI1g_12_0"/>
      <w:bookmarkStart w:id="170" w:name="Tc_j7AeF1PllEuTpllQB_5mcg_11_0"/>
      <w:bookmarkStart w:id="171" w:name="Tc_Smma4QbZoEOC7gREF5qRlA_10_0"/>
      <w:bookmarkStart w:id="172" w:name="Tc_wcIa03nIdE27640t49PykA_9_0"/>
      <w:bookmarkStart w:id="173" w:name="Tc_XDEkdxm4pEq1XEa0OaRpVw_8_0"/>
      <w:bookmarkStart w:id="174" w:name="Tc_bE4wztSltE6iKDUQkwPykQ_7_0"/>
      <w:bookmarkStart w:id="175" w:name="Tc_-yE8HGg0_EeEc-zvy4XWkQ_6_0"/>
      <w:bookmarkStart w:id="176" w:name="Tc_lJGe1gyYoU2fMn3QzC-e2Q_5_0"/>
      <w:bookmarkStart w:id="177" w:name="Tc_o3mLqU30Yk2SKPbMya_bQw_4_6"/>
      <w:bookmarkStart w:id="178" w:name="Tc_lG3QGhjSTkaTgnh_eyak1g_3_6"/>
      <w:bookmarkStart w:id="179" w:name="Tc_2eb1aEjvhEuqoIS_EMIyAA_2_6"/>
      <w:bookmarkStart w:id="180" w:name="Tc_9D2pjJLVFEq7f7Jun2bhyw_2_4"/>
      <w:bookmarkStart w:id="181" w:name="Tc_mZ9YgwOTP0C7Z8q6sXdvCg_2_2"/>
      <w:bookmarkStart w:id="182" w:name="Tc_EZf2En9XQ0uV7B9xNtZMvA_1_2"/>
      <w:bookmarkStart w:id="183" w:name="_a27a88e3_1258_4b72_8edc_3614001e3435"/>
      <w:bookmarkStart w:id="184" w:name="Tc_iBSkxyc5PEeNPHjf8pYJNQ_43_0"/>
      <w:bookmarkStart w:id="185" w:name="Tc_iUVUn9yub0G1wbJB2HmdUg_42_0"/>
      <w:bookmarkStart w:id="186" w:name="Tc_jbhJwLfRhEKaa2tbk-meFA_41_0"/>
      <w:bookmarkStart w:id="187" w:name="Tc_YgFKzheFiEa7zC2apyZYsA_40_0"/>
      <w:bookmarkStart w:id="188" w:name="Tc_BpCJiVIG3kCNLSPgKgZ6ww_39_0"/>
      <w:bookmarkStart w:id="189" w:name="Tc_BUK3a2mbt0C7yQp3aiQ2sw_38_0"/>
      <w:bookmarkStart w:id="190" w:name="Tc_G7V7angddE2NWgD_aoLE4w_36_0"/>
      <w:bookmarkStart w:id="191" w:name="Tc_WOMbmy_8RUeFOXKtQkjmTw_35_0"/>
      <w:bookmarkStart w:id="192" w:name="Tc_IFm_8cn5nEeGseRolGV4pA_34_0"/>
      <w:bookmarkStart w:id="193" w:name="Tc_xj4jNi3wWkanhDlPG56-BA_33_0"/>
      <w:bookmarkStart w:id="194" w:name="Tc_DPpuvGIHMk-t5o1_jPIGag_32_6"/>
      <w:bookmarkStart w:id="195" w:name="Tc_wB7hyauw4E2NuBEIjntljg_32_4"/>
      <w:bookmarkStart w:id="196" w:name="Tc_295YWZ6ZNUmeGX0I_vV8LQ_32_0"/>
      <w:bookmarkStart w:id="197" w:name="Tc_0jI1MFvDmkORyOC_LIA51g_31_0"/>
      <w:bookmarkStart w:id="198" w:name="Tc_EUuZZYNTLEuxATbsp9XNuQ_29_0"/>
      <w:bookmarkStart w:id="199" w:name="Tc_ihMMyFDySk2JQpJNSNVUjw_28_0"/>
      <w:bookmarkStart w:id="200" w:name="Tc_ZDjp7vUa5EuPO9W68GKbXA_27_0"/>
      <w:bookmarkStart w:id="201" w:name="Tc_f_TR_5TVh0Kyj86i3Agbdg_26_0"/>
      <w:bookmarkStart w:id="202" w:name="Tc_NVQrrhgcD0SVf9_KTMlzIQ_25_0"/>
      <w:bookmarkStart w:id="203" w:name="Tc_wExD756xDEy9Yz49asD52g_24_0"/>
      <w:bookmarkStart w:id="204" w:name="Tc_RKsDueac_0Oq3lh1TK_FaQ_23_0"/>
      <w:bookmarkStart w:id="205" w:name="Tc_4P5G9DRdzEmVVNuJcLlvUA_22_0"/>
      <w:bookmarkStart w:id="206" w:name="Tc_9gzYSJapW0a0HdWBLMhIRA_21_0"/>
      <w:bookmarkStart w:id="207" w:name="Tc_GrBnyGytQEGMvVWMJBUo0g_20_0"/>
      <w:bookmarkStart w:id="208" w:name="Tc_ahNkq1IAz0O6AnWJ09Qylw_19_0"/>
      <w:bookmarkStart w:id="209" w:name="Tc_hNnzCtvET0Gg6pqiJgze0Q_18_0"/>
      <w:bookmarkStart w:id="210" w:name="Tc_SQrqh788Dk6BtHVucQYrOA_17_0"/>
      <w:bookmarkStart w:id="211" w:name="Tc_g4ZGABMP3kWz0fF4REl4Nw_16_0"/>
      <w:bookmarkStart w:id="212" w:name="Tc_jiOXBG1Rf0GCLEHR_07CUw_15_0"/>
      <w:bookmarkStart w:id="213" w:name="Tc_HLuFaSE65U232baCoC47dw_14_0"/>
      <w:bookmarkStart w:id="214" w:name="Tc_5WOeuW_bB0GnEsqhOwm5oQ_13_0"/>
      <w:bookmarkStart w:id="215" w:name="Tc_OYkaTaORp06sU_RY-QvI1g_12_0"/>
      <w:bookmarkStart w:id="216" w:name="Tc_j7AeF1PllEuTpllQB_5mcg_11_0"/>
      <w:bookmarkStart w:id="217" w:name="Tc_Smma4QbZoEOC7gREF5qRlA_10_0"/>
      <w:bookmarkStart w:id="218" w:name="Tc_wcIa03nIdE27640t49PykA_9_0"/>
      <w:bookmarkStart w:id="219" w:name="Tc_XDEkdxm4pEq1XEa0OaRpVw_8_0"/>
      <w:bookmarkStart w:id="220" w:name="Tc_bE4wztSltE6iKDUQkwPykQ_7_0"/>
      <w:bookmarkStart w:id="221" w:name="Tc_-yE8HGg0_EeEc-zvy4XWkQ_6_0"/>
      <w:bookmarkStart w:id="222" w:name="Tc_lJGe1gyYoU2fMn3QzC-e2Q_5_0"/>
      <w:bookmarkStart w:id="223" w:name="Tc_o3mLqU30Yk2SKPbMya_bQw_4_6"/>
      <w:bookmarkStart w:id="224" w:name="Tc_lG3QGhjSTkaTgnh_eyak1g_3_6"/>
      <w:bookmarkStart w:id="225" w:name="Tc_2eb1aEjvhEuqoIS_EMIyAA_2_6"/>
      <w:bookmarkStart w:id="226" w:name="Tc_9D2pjJLVFEq7f7Jun2bhyw_2_4"/>
      <w:bookmarkStart w:id="227" w:name="Tc_mZ9YgwOTP0C7Z8q6sXdvCg_2_2"/>
      <w:bookmarkStart w:id="228" w:name="Tc_EZf2En9XQ0uV7B9xNtZMvA_1_2"/>
      <w:bookmarkStart w:id="229" w:name="_a27a88e3_1258_4b72_8edc_3614001e3435"/>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tbl>
      <w:tblPr>
        <w:tblW w:w="10205" w:type="dxa"/>
        <w:jc w:val="left"/>
        <w:tblInd w:w="0" w:type="dxa"/>
        <w:tblLayout w:type="fixed"/>
        <w:tblCellMar>
          <w:top w:w="0" w:type="dxa"/>
          <w:left w:w="0" w:type="dxa"/>
          <w:bottom w:w="0" w:type="dxa"/>
          <w:right w:w="0" w:type="dxa"/>
        </w:tblCellMar>
      </w:tblPr>
      <w:tblGrid>
        <w:gridCol w:w="5639"/>
        <w:gridCol w:w="346"/>
        <w:gridCol w:w="1141"/>
        <w:gridCol w:w="346"/>
        <w:gridCol w:w="1141"/>
        <w:gridCol w:w="346"/>
        <w:gridCol w:w="1246"/>
      </w:tblGrid>
      <w:tr>
        <w:trPr/>
        <w:tc>
          <w:tcPr>
            <w:tcW w:w="56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580765" cy="175260"/>
                      <wp:effectExtent l="0" t="0" r="0" b="0"/>
                      <wp:wrapNone/>
                      <wp:docPr id="13" name="Frame13"/>
                      <a:graphic xmlns:a="http://schemas.openxmlformats.org/drawingml/2006/main">
                        <a:graphicData uri="http://schemas.microsoft.com/office/word/2010/wordprocessingShape">
                          <wps:wsp>
                            <wps:cNvSpPr txBox="1"/>
                            <wps:spPr>
                              <a:xfrm>
                                <a:off x="0" y="0"/>
                                <a:ext cx="3580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724535" cy="175260"/>
                      <wp:effectExtent l="0" t="0" r="0" b="0"/>
                      <wp:wrapNone/>
                      <wp:docPr id="15" name="Frame1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24535" cy="175260"/>
                      <wp:effectExtent l="0" t="0" r="0" b="0"/>
                      <wp:wrapNone/>
                      <wp:docPr id="17" name="Frame1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791210" cy="175260"/>
                      <wp:effectExtent l="0" t="0" r="0" b="0"/>
                      <wp:wrapNone/>
                      <wp:docPr id="19" name="Frame19"/>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2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6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56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 in million</w:t>
            </w:r>
          </w:p>
        </w:tc>
      </w:tr>
      <w:tr>
        <w:trPr/>
        <w:tc>
          <w:tcPr>
            <w:tcW w:w="56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 2)</w:t>
            </w:r>
          </w:p>
        </w:tc>
      </w:tr>
      <w:tr>
        <w:trPr/>
        <w:tc>
          <w:tcPr>
            <w:tcW w:w="563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pPr>
            <w:r>
              <w:rPr/>
              <w:t>  ​</w:t>
            </w:r>
          </w:p>
        </w:tc>
      </w:tr>
      <w:tr>
        <w:trPr/>
        <w:tc>
          <w:tcPr>
            <w:tcW w:w="563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Leased and owned hotels</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6,190</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5,983</w:t>
            </w:r>
          </w:p>
        </w:tc>
        <w:tc>
          <w:tcPr>
            <w:tcW w:w="34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882</w:t>
            </w:r>
          </w:p>
        </w:tc>
      </w:tr>
      <w:tr>
        <w:trPr/>
        <w:tc>
          <w:tcPr>
            <w:tcW w:w="56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Manachised and franchised hotels</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5,364</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6,592</w:t>
            </w:r>
          </w:p>
        </w:tc>
        <w:tc>
          <w:tcPr>
            <w:tcW w:w="34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972</w:t>
            </w:r>
          </w:p>
        </w:tc>
      </w:tr>
      <w:tr>
        <w:trPr/>
        <w:tc>
          <w:tcPr>
            <w:tcW w:w="563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Others</w:t>
            </w:r>
          </w:p>
        </w:tc>
        <w:tc>
          <w:tcPr>
            <w:tcW w:w="34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267</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542</w:t>
            </w:r>
          </w:p>
        </w:tc>
        <w:tc>
          <w:tcPr>
            <w:tcW w:w="346" w:type="dxa"/>
            <w:tcBorders/>
            <w:vAlign w:val="center"/>
          </w:tcPr>
          <w:p>
            <w:pPr>
              <w:pStyle w:val="TableContents"/>
              <w:bidi w:val="0"/>
              <w:spacing w:before="0" w:after="1"/>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w:t>
            </w:r>
          </w:p>
        </w:tc>
      </w:tr>
      <w:tr>
        <w:trPr/>
        <w:tc>
          <w:tcPr>
            <w:tcW w:w="563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11,821</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13,117</w:t>
            </w:r>
          </w:p>
        </w:tc>
        <w:tc>
          <w:tcPr>
            <w:tcW w:w="346" w:type="dxa"/>
            <w:tcBorders/>
            <w:shd w:fill="CCEEFF" w:val="clear"/>
            <w:vAlign w:val="center"/>
          </w:tcPr>
          <w:p>
            <w:pPr>
              <w:pStyle w:val="TableContents"/>
              <w:bidi w:val="0"/>
              <w:spacing w:before="0" w:after="1"/>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1,934</w:t>
            </w:r>
          </w:p>
        </w:tc>
      </w:tr>
      <w:tr>
        <w:trPr/>
        <w:tc>
          <w:tcPr>
            <w:tcW w:w="5639"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Operating costs and expenses:</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pPr>
            <w:r>
              <w:rPr/>
              <w:t>​</w:t>
            </w:r>
          </w:p>
        </w:tc>
      </w:tr>
      <w:tr>
        <w:trPr/>
        <w:tc>
          <w:tcPr>
            <w:tcW w:w="56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Hotel operating costs</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7,356</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7,685</w:t>
            </w:r>
          </w:p>
        </w:tc>
        <w:tc>
          <w:tcPr>
            <w:tcW w:w="34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1,133</w:t>
            </w:r>
          </w:p>
        </w:tc>
      </w:tr>
      <w:tr>
        <w:trPr/>
        <w:tc>
          <w:tcPr>
            <w:tcW w:w="563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operating costs</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w:t>
            </w:r>
          </w:p>
        </w:tc>
        <w:tc>
          <w:tcPr>
            <w:tcW w:w="34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w:t>
            </w:r>
          </w:p>
        </w:tc>
      </w:tr>
      <w:tr>
        <w:trPr/>
        <w:tc>
          <w:tcPr>
            <w:tcW w:w="56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Selling and marketing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552</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623</w:t>
            </w:r>
          </w:p>
        </w:tc>
        <w:tc>
          <w:tcPr>
            <w:tcW w:w="34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w:t>
            </w:r>
          </w:p>
        </w:tc>
      </w:tr>
      <w:tr>
        <w:trPr/>
        <w:tc>
          <w:tcPr>
            <w:tcW w:w="563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 expenses</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1,172</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1,251</w:t>
            </w:r>
          </w:p>
        </w:tc>
        <w:tc>
          <w:tcPr>
            <w:tcW w:w="34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w:t>
            </w:r>
          </w:p>
        </w:tc>
      </w:tr>
      <w:tr>
        <w:trPr/>
        <w:tc>
          <w:tcPr>
            <w:tcW w:w="56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Pre-opening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w:t>
            </w:r>
          </w:p>
        </w:tc>
        <w:tc>
          <w:tcPr>
            <w:tcW w:w="346" w:type="dxa"/>
            <w:tcBorders/>
            <w:shd w:fill="CCEEFF" w:val="clear"/>
            <w:vAlign w:val="center"/>
          </w:tcPr>
          <w:p>
            <w:pPr>
              <w:pStyle w:val="TableContents"/>
              <w:bidi w:val="0"/>
              <w:spacing w:before="0" w:after="1"/>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5639"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operating costs and expenses</w:t>
            </w:r>
          </w:p>
        </w:tc>
        <w:tc>
          <w:tcPr>
            <w:tcW w:w="34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9,117</w:t>
            </w:r>
          </w:p>
        </w:tc>
        <w:tc>
          <w:tcPr>
            <w:tcW w:w="34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9,630</w:t>
            </w:r>
          </w:p>
        </w:tc>
        <w:tc>
          <w:tcPr>
            <w:tcW w:w="346" w:type="dxa"/>
            <w:tcBorders/>
            <w:vAlign w:val="center"/>
          </w:tcPr>
          <w:p>
            <w:pPr>
              <w:pStyle w:val="TableContents"/>
              <w:bidi w:val="0"/>
              <w:spacing w:before="0" w:after="1"/>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1,419</w:t>
            </w:r>
          </w:p>
        </w:tc>
      </w:tr>
      <w:tr>
        <w:trPr/>
        <w:tc>
          <w:tcPr>
            <w:tcW w:w="56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operating income, net</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219</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w:t>
            </w:r>
          </w:p>
        </w:tc>
      </w:tr>
      <w:tr>
        <w:trPr/>
        <w:tc>
          <w:tcPr>
            <w:tcW w:w="5639"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Income from operations</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2,869</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3,706</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547</w:t>
            </w:r>
          </w:p>
        </w:tc>
      </w:tr>
      <w:tr>
        <w:trPr/>
        <w:tc>
          <w:tcPr>
            <w:tcW w:w="56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income</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w:t>
            </w:r>
          </w:p>
        </w:tc>
      </w:tr>
      <w:tr>
        <w:trPr/>
        <w:tc>
          <w:tcPr>
            <w:tcW w:w="563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r>
      <w:tr>
        <w:trPr/>
        <w:tc>
          <w:tcPr>
            <w:tcW w:w="56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income (expense), net</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563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Losses from fair value changes of equity securities, net</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56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exchange gain (loss), net</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574</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w:t>
            </w:r>
          </w:p>
        </w:tc>
      </w:tr>
      <w:tr>
        <w:trPr/>
        <w:tc>
          <w:tcPr>
            <w:tcW w:w="5639"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Income before income taxes</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3,403</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3,532</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521</w:t>
            </w:r>
          </w:p>
        </w:tc>
      </w:tr>
      <w:tr>
        <w:trPr/>
        <w:tc>
          <w:tcPr>
            <w:tcW w:w="56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942</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1,168</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172</w:t>
            </w:r>
          </w:p>
        </w:tc>
      </w:tr>
      <w:tr>
        <w:trPr/>
        <w:tc>
          <w:tcPr>
            <w:tcW w:w="563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(Loss) gain from equity method investments</w:t>
            </w:r>
          </w:p>
        </w:tc>
        <w:tc>
          <w:tcPr>
            <w:tcW w:w="34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w:t>
            </w:r>
          </w:p>
        </w:tc>
        <w:tc>
          <w:tcPr>
            <w:tcW w:w="346" w:type="dxa"/>
            <w:tcBorders/>
            <w:vAlign w:val="center"/>
          </w:tcPr>
          <w:p>
            <w:pPr>
              <w:pStyle w:val="TableContents"/>
              <w:bidi w:val="0"/>
              <w:spacing w:before="0" w:after="1"/>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r>
      <w:tr>
        <w:trPr/>
        <w:tc>
          <w:tcPr>
            <w:tcW w:w="563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income</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2,458</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2,400</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354</w:t>
            </w:r>
          </w:p>
        </w:tc>
      </w:tr>
      <w:tr>
        <w:trPr/>
        <w:tc>
          <w:tcPr>
            <w:tcW w:w="563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Less: net income attributable to noncontrolling interest</w:t>
            </w:r>
          </w:p>
        </w:tc>
        <w:tc>
          <w:tcPr>
            <w:tcW w:w="34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w:t>
            </w:r>
          </w:p>
        </w:tc>
        <w:tc>
          <w:tcPr>
            <w:tcW w:w="346" w:type="dxa"/>
            <w:tcBorders/>
            <w:vAlign w:val="center"/>
          </w:tcPr>
          <w:p>
            <w:pPr>
              <w:pStyle w:val="TableContents"/>
              <w:bidi w:val="0"/>
              <w:spacing w:before="0" w:after="1"/>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563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income attributable to H World Group Limited</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2,438</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2,394</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353</w:t>
            </w:r>
          </w:p>
        </w:tc>
      </w:tr>
      <w:tr>
        <w:trPr/>
        <w:tc>
          <w:tcPr>
            <w:tcW w:w="56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pPr>
            <w:r>
              <w:rPr/>
              <w:t>​</w:t>
            </w:r>
          </w:p>
        </w:tc>
      </w:tr>
      <w:tr>
        <w:trPr/>
        <w:tc>
          <w:tcPr>
            <w:tcW w:w="563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Other comprehensive income (loss)</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pPr>
            <w:r>
              <w:rPr/>
              <w:t>​</w:t>
            </w:r>
          </w:p>
        </w:tc>
      </w:tr>
      <w:tr>
        <w:trPr/>
        <w:tc>
          <w:tcPr>
            <w:tcW w:w="563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Gain from fair value changes of debt securities, net of tax of RMB1 and nil for the six months ended June 30, 2025 and 2026, respectively</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pPr>
            <w:r>
              <w:rPr/>
              <w:t>—</w:t>
            </w:r>
          </w:p>
        </w:tc>
      </w:tr>
      <w:tr>
        <w:trPr/>
        <w:tc>
          <w:tcPr>
            <w:tcW w:w="56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adjustments, net of tax of nil for the six months ended June 30, 2025 and 2026</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r>
      <w:tr>
        <w:trPr/>
        <w:tc>
          <w:tcPr>
            <w:tcW w:w="5639"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Comprehensive income</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2,338</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2,319</w:t>
            </w:r>
          </w:p>
        </w:tc>
        <w:tc>
          <w:tcPr>
            <w:tcW w:w="34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342</w:t>
            </w:r>
          </w:p>
        </w:tc>
      </w:tr>
      <w:tr>
        <w:trPr/>
        <w:tc>
          <w:tcPr>
            <w:tcW w:w="56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Less: comprehensive income attributable to the noncontrolling interest</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w:t>
            </w:r>
          </w:p>
        </w:tc>
        <w:tc>
          <w:tcPr>
            <w:tcW w:w="34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5639"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Comprehensive income attributable to H World Group Limited</w:t>
            </w:r>
          </w:p>
        </w:tc>
        <w:tc>
          <w:tcPr>
            <w:tcW w:w="34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2,318</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2,313</w:t>
            </w:r>
          </w:p>
        </w:tc>
        <w:tc>
          <w:tcPr>
            <w:tcW w:w="346" w:type="dxa"/>
            <w:tcBorders/>
            <w:vAlign w:val="center"/>
          </w:tcPr>
          <w:p>
            <w:pPr>
              <w:pStyle w:val="TableContents"/>
              <w:bidi w:val="0"/>
              <w:spacing w:before="0" w:after="1"/>
              <w:ind w:left="0" w:right="0" w:hanging="0"/>
              <w:jc w:val="left"/>
              <w:rPr/>
            </w:pPr>
            <w:r>
              <w:rPr/>
              <w:t> </w:t>
            </w:r>
          </w:p>
        </w:tc>
        <w:tc>
          <w:tcPr>
            <w:tcW w:w="12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341</w:t>
            </w:r>
          </w:p>
        </w:tc>
      </w:tr>
      <w:tr>
        <w:trPr/>
        <w:tc>
          <w:tcPr>
            <w:tcW w:w="563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pPr>
            <w:r>
              <w:rPr/>
              <w:t>​</w:t>
            </w:r>
          </w:p>
        </w:tc>
      </w:tr>
      <w:tr>
        <w:trPr/>
        <w:tc>
          <w:tcPr>
            <w:tcW w:w="563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Earnings per share:</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pPr>
            <w:r>
              <w:rPr/>
              <w:t>​</w:t>
            </w:r>
          </w:p>
        </w:tc>
      </w:tr>
      <w:tr>
        <w:trPr/>
        <w:tc>
          <w:tcPr>
            <w:tcW w:w="56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Basic</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0.79</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0.77</w:t>
            </w:r>
          </w:p>
        </w:tc>
        <w:tc>
          <w:tcPr>
            <w:tcW w:w="34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0.11</w:t>
            </w:r>
          </w:p>
        </w:tc>
      </w:tr>
      <w:tr>
        <w:trPr/>
        <w:tc>
          <w:tcPr>
            <w:tcW w:w="563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Diluted</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0.77</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0.74</w:t>
            </w:r>
          </w:p>
        </w:tc>
        <w:tc>
          <w:tcPr>
            <w:tcW w:w="34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0.11</w:t>
            </w:r>
          </w:p>
        </w:tc>
      </w:tr>
      <w:tr>
        <w:trPr/>
        <w:tc>
          <w:tcPr>
            <w:tcW w:w="56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Weighted average number of shares used in computation:</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pPr>
            <w:r>
              <w:rPr/>
              <w:t>​</w:t>
            </w:r>
          </w:p>
        </w:tc>
      </w:tr>
      <w:tr>
        <w:trPr/>
        <w:tc>
          <w:tcPr>
            <w:tcW w:w="563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Basic</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3,069,285,390</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3,113,494,317</w:t>
            </w:r>
          </w:p>
        </w:tc>
        <w:tc>
          <w:tcPr>
            <w:tcW w:w="34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3,113,494,317</w:t>
            </w:r>
          </w:p>
        </w:tc>
      </w:tr>
      <w:tr>
        <w:trPr/>
        <w:tc>
          <w:tcPr>
            <w:tcW w:w="563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Diluted</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3,238,797,601</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3,262,617,460</w:t>
            </w:r>
          </w:p>
        </w:tc>
        <w:tc>
          <w:tcPr>
            <w:tcW w:w="34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3,262,617,460</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30" w:name="_9d1c29ee_0e2b_4167_b711_90473966d589"/>
      <w:bookmarkEnd w:id="230"/>
      <w:r>
        <w:rPr>
          <w:rFonts w:ascii="Times New Roman;Times;serif" w:hAnsi="Times New Roman;Times;serif"/>
          <w:b/>
          <w:sz w:val="20"/>
        </w:rPr>
        <w:t>H WORLD GROUP LIMITED</w:t>
      </w:r>
    </w:p>
    <w:p>
      <w:pPr>
        <w:pStyle w:val="TextBody"/>
        <w:bidi w:val="0"/>
        <w:spacing w:before="0" w:after="0"/>
        <w:ind w:left="0" w:right="0" w:hanging="0"/>
        <w:jc w:val="center"/>
        <w:rPr>
          <w:rFonts w:ascii="Times New Roman;Times;serif" w:hAnsi="Times New Roman;Times;serif"/>
          <w:b/>
          <w:sz w:val="20"/>
        </w:rPr>
      </w:pPr>
      <w:bookmarkStart w:id="231" w:name="CONSOLIDATEDSTATEMENTSOFCHANGESINEQUITY_"/>
      <w:bookmarkEnd w:id="231"/>
      <w:r>
        <w:rPr>
          <w:rFonts w:ascii="Times New Roman;Times;serif" w:hAnsi="Times New Roman;Times;serif"/>
          <w:b/>
          <w:sz w:val="20"/>
        </w:rPr>
        <w:t>UNAUDITED INTERIM CONDENSED CONSOLIDATED STATEMENTS OF CHANGES IN EQUITY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(Renminbi in millions, except share data, unless otherwise stated)</w:t>
      </w:r>
    </w:p>
    <w:p>
      <w:pPr>
        <w:pStyle w:val="Normal"/>
        <w:bidi w:val="0"/>
        <w:spacing w:before="0" w:after="0"/>
        <w:jc w:val="left"/>
        <w:rPr>
          <w:sz w:val="4"/>
          <w:szCs w:val="4"/>
        </w:rPr>
      </w:pPr>
      <w:r>
        <w:rPr>
          <w:sz w:val="4"/>
          <w:szCs w:val="4"/>
        </w:rPr>
      </w:r>
      <w:bookmarkStart w:id="232" w:name="Tc_r7uX3LgAi0e7yox6xIiRXg_33_0"/>
      <w:bookmarkStart w:id="233" w:name="Tc_3iMenAsxREqzLn51qd3a0w_32_16"/>
      <w:bookmarkStart w:id="234" w:name="Tc__afrTzI3SU6mk0CknNxCZA_32_14"/>
      <w:bookmarkStart w:id="235" w:name="Tc_OCRBAQzI20aW1N78xcxckw_32_10"/>
      <w:bookmarkStart w:id="236" w:name="Tc_uT4kH0ZIM0qJjpkCkeT1NA_32_8"/>
      <w:bookmarkStart w:id="237" w:name="Tc_qj6p5SI230esQh_nULOqzA_32_6"/>
      <w:bookmarkStart w:id="238" w:name="Tc_e3Ak8i5lLk2QLzj7srKG1g_32_4"/>
      <w:bookmarkStart w:id="239" w:name="Tc_xWwoawh5JUWY-DH8KOZojQ_32_2"/>
      <w:bookmarkStart w:id="240" w:name="Tc_U7XqvP9fyUqNQB-3hazABQ_32_0"/>
      <w:bookmarkStart w:id="241" w:name="Tc_pQHIacv3a0mSqkeX0W7CAg_31_14"/>
      <w:bookmarkStart w:id="242" w:name="Tc_GWKzjRViAEabW51vH2R76g_31_12"/>
      <w:bookmarkStart w:id="243" w:name="Tc_8mZyTCC7kE-PLrcuqHY2YQ_31_10"/>
      <w:bookmarkStart w:id="244" w:name="Tc_NDQhlCav00q7nLWTroD5fQ_31_8"/>
      <w:bookmarkStart w:id="245" w:name="Tc_mEoqQDz0IkO-V3TEZWdiAg_31_6"/>
      <w:bookmarkStart w:id="246" w:name="Tc_A1yu_qMQaEuqk7dpDrE6kA_31_4"/>
      <w:bookmarkStart w:id="247" w:name="Tc_PcSeVvP1PkiYRFyjxdr3yw_31_2"/>
      <w:bookmarkStart w:id="248" w:name="Tc_aOL0R4k0hUSQU4li_-JGNA_31_0"/>
      <w:bookmarkStart w:id="249" w:name="Tc_7bxpYZqFPECY7wJPNlH79g_30_16"/>
      <w:bookmarkStart w:id="250" w:name="Tc_6r1OM2JkxESMsd3HuhtsEQ_30_14"/>
      <w:bookmarkStart w:id="251" w:name="Tc_dR3Z0E3gT0an5znGP6uFZg_30_12"/>
      <w:bookmarkStart w:id="252" w:name="Tc_B9WO687FsUu_E3FqAQRvVg_30_10"/>
      <w:bookmarkStart w:id="253" w:name="Tc_QfuX1e9_okexMBrsJzOKNg_30_4"/>
      <w:bookmarkStart w:id="254" w:name="Tc_xB8pfTCiJEasJMjt0al0Cw_30_0"/>
      <w:bookmarkStart w:id="255" w:name="Tc_GgfmaZMljkysFu-fyAhXLQ_29_16"/>
      <w:bookmarkStart w:id="256" w:name="Tc_hK3_pSrBh0CMYHPs_rWSzw_29_12"/>
      <w:bookmarkStart w:id="257" w:name="Tc_YAzksV4mwESt_pdlrCZc3A_29_10"/>
      <w:bookmarkStart w:id="258" w:name="Tc_S_Ficu9c0Uuw6yLWmOiM7A_29_8"/>
      <w:bookmarkStart w:id="259" w:name="Tc_UdPfoyJsqEWJAYF38uQRDw_29_6"/>
      <w:bookmarkStart w:id="260" w:name="Tc_R3yxJIjCqEuwwg9QL6x5Ww_29_4"/>
      <w:bookmarkStart w:id="261" w:name="Tc_E-JGzq98TE-F5BgEAcV5yg_29_2"/>
      <w:bookmarkStart w:id="262" w:name="Tc_ayRTLEHQYEizdBUIkz33Vg_29_0"/>
      <w:bookmarkStart w:id="263" w:name="Tc_Mf8Ob5aWjkShCKJzr07mjA_28_18"/>
      <w:bookmarkStart w:id="264" w:name="Tc_b_ufaYJlWEy5wjQRZn5f6w_28_16"/>
      <w:bookmarkStart w:id="265" w:name="Tc_X3KLzvnHDEKmO6-r2SWANQ_28_14"/>
      <w:bookmarkStart w:id="266" w:name="Tc_VIgdH5gwLkmFiEOn9ARuTQ_28_12"/>
      <w:bookmarkStart w:id="267" w:name="Tc_iDfcXFVcLUuUjpKlwqaMxA_28_10"/>
      <w:bookmarkStart w:id="268" w:name="Tc_2ptrRlePtEuxpdOcF1mV4Q_28_8"/>
      <w:bookmarkStart w:id="269" w:name="Tc_67HfcTjx8kOygzVNSpgfgA_28_6"/>
      <w:bookmarkStart w:id="270" w:name="Tc_Ll2WHUOPuEaKFUdYcsoFiQ_28_4"/>
      <w:bookmarkStart w:id="271" w:name="Tc_DWL8umaP4EG7UY2mzpKOKw_28_2"/>
      <w:bookmarkStart w:id="272" w:name="Tc_aqWoBSSfxESjZwmKzgs54g_28_0"/>
      <w:bookmarkStart w:id="273" w:name="Tc_R60KB9t_FUytrz-YZ2Uo0A_27_18"/>
      <w:bookmarkStart w:id="274" w:name="Tc_HmfwEMzdP0G1t2lsyKtUow_27_16"/>
      <w:bookmarkStart w:id="275" w:name="Tc_xn9LnwuSGE6H8s8Hevk1qg_27_14"/>
      <w:bookmarkStart w:id="276" w:name="Tc_lAH3-j8780qf8QgTebp0Lw_27_12"/>
      <w:bookmarkStart w:id="277" w:name="Tc_lHtBaGU0fUOKl3VSv7Le2A_27_10"/>
      <w:bookmarkStart w:id="278" w:name="Tc_yWcDEbDFHE-LKNh02DSRxw_27_8"/>
      <w:bookmarkStart w:id="279" w:name="Tc_MmYL4cn4uEe918-pBDnKaw_27_6"/>
      <w:bookmarkStart w:id="280" w:name="Tc_sMpoZRov_kC4m56JlfnHfA_27_4"/>
      <w:bookmarkStart w:id="281" w:name="Tc_k65_Wa0HBUaH50vlG4iiVA_27_2"/>
      <w:bookmarkStart w:id="282" w:name="Tc_5DB3_HmgZUeC2yV5cFH1zQ_27_0"/>
      <w:bookmarkStart w:id="283" w:name="Tc_HvUSj2RrJkydYZl1xNkqpg_26_18"/>
      <w:bookmarkStart w:id="284" w:name="Tc_HihyCguwcUarUhBYJVVZnQ_26_16"/>
      <w:bookmarkStart w:id="285" w:name="Tc_fzogD3LULEyijjOGS0M3pw_26_14"/>
      <w:bookmarkStart w:id="286" w:name="Tc_YO9Rnw-nfkygGQ0wQbfYAw_26_12"/>
      <w:bookmarkStart w:id="287" w:name="Tc_14PobSSPfUiuOLDYxl5p3g_26_10"/>
      <w:bookmarkStart w:id="288" w:name="Tc_YgQ4-wH9MkOv2jD6iMAEoA_26_8"/>
      <w:bookmarkStart w:id="289" w:name="Tc_SnsmccsoQk-BPKwE4mikRw_26_6"/>
      <w:bookmarkStart w:id="290" w:name="Tc_rVyfOnTBYki_vEYB8VznCg_26_4"/>
      <w:bookmarkStart w:id="291" w:name="Tc_QHvpk_H_1UqB4V9jX6u4tA_26_2"/>
      <w:bookmarkStart w:id="292" w:name="Tc_fFa_Uxm4Gk-F5dMjOO-vpA_26_0"/>
      <w:bookmarkStart w:id="293" w:name="Tc_9T_0fq1ZHkWCQokFReD4sw_25_14"/>
      <w:bookmarkStart w:id="294" w:name="Tc_-kx3beuloUWiapWIN-uOPA_25_12"/>
      <w:bookmarkStart w:id="295" w:name="Tc_yXZmYexlsUuoO4NVS4J1BA_25_10"/>
      <w:bookmarkStart w:id="296" w:name="Tc_ulojeZJ9OkqMCyWVs5JPkg_25_8"/>
      <w:bookmarkStart w:id="297" w:name="Tc_TRsZwxTptUSJh64uH0uPfA_25_6"/>
      <w:bookmarkStart w:id="298" w:name="Tc_wm62hgNCK0quftnQnZPzfQ_25_4"/>
      <w:bookmarkStart w:id="299" w:name="Tc_XCQZF9LZK0KJPHz_Utt7Kw_25_2"/>
      <w:bookmarkStart w:id="300" w:name="Tc_J04d19_PI0e2t87qJC715g_25_0"/>
      <w:bookmarkStart w:id="301" w:name="Tc_vH3N5UAmzUCFAgDbouZO7A_24_14"/>
      <w:bookmarkStart w:id="302" w:name="Tc_MHsINbMspkCgxXrbO-7emg_24_10"/>
      <w:bookmarkStart w:id="303" w:name="Tc_QFtbZY0vUkOLq6gtuUFO5Q_24_8"/>
      <w:bookmarkStart w:id="304" w:name="Tc_xnz2TjYETUCyNGVZDpMCMA_24_6"/>
      <w:bookmarkStart w:id="305" w:name="Tc_g8oWJ89ge0SkQ9-Yi3pDhA_24_4"/>
      <w:bookmarkStart w:id="306" w:name="Tc_DQBVM-KBqUqllUwZ0zwvMQ_24_2"/>
      <w:bookmarkStart w:id="307" w:name="Tc_w9CyPVNCHEWsvi_93G4waw_24_0"/>
      <w:bookmarkStart w:id="308" w:name="Tc_T3braBJxzEC1iWDMVpe4Jg_23_16"/>
      <w:bookmarkStart w:id="309" w:name="Tc_1fJ9-gZ8zEm-jeuGSgs6hQ_23_14"/>
      <w:bookmarkStart w:id="310" w:name="Tc_x41dMnTRkUGyMZYSQl9Vdw_23_12"/>
      <w:bookmarkStart w:id="311" w:name="Tc_nq7Bw6tKLEy2cWwJDS5GWg_23_8"/>
      <w:bookmarkStart w:id="312" w:name="Tc_2Bq3ob8NgESfw1MFw_qVUg_23_6"/>
      <w:bookmarkStart w:id="313" w:name="Tc_sK1Vx-nSpkO-boCsfEjsWQ_23_4"/>
      <w:bookmarkStart w:id="314" w:name="Tc_TGAC1ZkZ0E6bt3X5j8GP_w_23_2"/>
      <w:bookmarkStart w:id="315" w:name="Tc_VbN0FIVkt0KhgMH-E7KkvQ_23_0"/>
      <w:bookmarkStart w:id="316" w:name="Tc_sLBy3HFI7UKBXNsM9-BlWA_22_16"/>
      <w:bookmarkStart w:id="317" w:name="Tc_ng19A7gwNkaIDhirS80MOw_22_14"/>
      <w:bookmarkStart w:id="318" w:name="Tc_cUue7lS0HU2Ag8Trqf4KOA_22_12"/>
      <w:bookmarkStart w:id="319" w:name="Tc_6lYu_eNTOUmvWA69-LrDEA_22_8"/>
      <w:bookmarkStart w:id="320" w:name="Tc_eMLKJ5HMCEuCiEmtm5EeAg_22_6"/>
      <w:bookmarkStart w:id="321" w:name="Tc_hkA0AhpSdkSR3PidshVRbA_22_0"/>
      <w:bookmarkStart w:id="322" w:name="Tc_dmSXU7ASBkWUssx9wuAHFQ_21_18"/>
      <w:bookmarkStart w:id="323" w:name="Tc_qs9whppvGkCyjfBY2fpBuw_21_16"/>
      <w:bookmarkStart w:id="324" w:name="Tc_vMGZH96BgkKVWfnrLOgDLw_21_14"/>
      <w:bookmarkStart w:id="325" w:name="Tc_95O6wUtsHkea-KNLQFMhoA_21_12"/>
      <w:bookmarkStart w:id="326" w:name="Tc_m9ResNhE_USbr6Ot_ZOeLQ_21_8"/>
      <w:bookmarkStart w:id="327" w:name="Tc_E0Ml6CVGz0yDuqA1siKOXw_21_6"/>
      <w:bookmarkStart w:id="328" w:name="Tc_hSrCIWQF5USEDhb2GIM6Xg_21_0"/>
      <w:bookmarkStart w:id="329" w:name="Tc_SYUDDGuq_kqmeiGheNew3w_20_16"/>
      <w:bookmarkStart w:id="330" w:name="Tc_IhNfyC__A0CZx0AYT6a1_Q_20_14"/>
      <w:bookmarkStart w:id="331" w:name="Tc_XSrRZnmslEa1WM27RrT42A_20_12"/>
      <w:bookmarkStart w:id="332" w:name="Tc_Rx9Rd1f8KUK_YKQaerWwiQ_20_4"/>
      <w:bookmarkStart w:id="333" w:name="Tc_bofix8E5ekW8vu7QcUtgwA_20_0"/>
      <w:bookmarkStart w:id="334" w:name="Tc_mEA7VemBWUqoKMrZSIDNDQ_19_0"/>
      <w:bookmarkStart w:id="335" w:name="Tc_vG2UIudU4E6U0GaNSesXag_17_0"/>
      <w:bookmarkStart w:id="336" w:name="Tc_EupSjinhpUa0vwZO-6LRnA_16_16"/>
      <w:bookmarkStart w:id="337" w:name="Tc_atkVZF1a1kGZ1I0lXrAdtw_16_12"/>
      <w:bookmarkStart w:id="338" w:name="Tc_Xbszg1Ff0U6O0o8l3YjWFA_16_10"/>
      <w:bookmarkStart w:id="339" w:name="Tc_2hqdmcwm_UiINbHmWjh-Jw_16_8"/>
      <w:bookmarkStart w:id="340" w:name="Tc_v4-1yyXYa0i8U7t1ptwWQg_16_6"/>
      <w:bookmarkStart w:id="341" w:name="Tc_7ufLS5yo6Uu0-qb7HDE9VQ_16_4"/>
      <w:bookmarkStart w:id="342" w:name="Tc_13UbZONYkEOWocrhwFW6Zg_16_2"/>
      <w:bookmarkStart w:id="343" w:name="Tc_adRFQ3TPI0q8DFrn5PfJqw_16_0"/>
      <w:bookmarkStart w:id="344" w:name="Tc_8UErom-PEEu2WZFOMdtF4w_15_16"/>
      <w:bookmarkStart w:id="345" w:name="Tc_z-sxJUYRVkepkAetdwplFQ_15_14"/>
      <w:bookmarkStart w:id="346" w:name="Tc_bXgXWkZ7AUGf1EtTsQMW4Q_15_10"/>
      <w:bookmarkStart w:id="347" w:name="Tc_o6dQTt_bBUyKYMnfO0A7qg_15_8"/>
      <w:bookmarkStart w:id="348" w:name="Tc_Bbcu_XL3k0mcbUz-_Mixlg_15_6"/>
      <w:bookmarkStart w:id="349" w:name="Tc_Fi6v-8cwlEyUq7H3JUq40w_15_4"/>
      <w:bookmarkStart w:id="350" w:name="Tc_SN2_aO3XgkS393MhYXS58w_15_2"/>
      <w:bookmarkStart w:id="351" w:name="Tc_LTLTFW5dPEenSdtvADDuLw_15_0"/>
      <w:bookmarkStart w:id="352" w:name="Tc_0evYD4msc0y0xDuyE4iM_A_14_16"/>
      <w:bookmarkStart w:id="353" w:name="Tc_L5URQGVlwE6IsUKdeEmLzQ_14_14"/>
      <w:bookmarkStart w:id="354" w:name="Tc_1OPP8YV2Ykq4YEOeEVSO3w_14_12"/>
      <w:bookmarkStart w:id="355" w:name="Tc_CW0ARf6F2keJeTFTzLlINQ_14_10"/>
      <w:bookmarkStart w:id="356" w:name="Tc_bDL3XD6ci0Oc4-5D3K1oHA_14_4"/>
      <w:bookmarkStart w:id="357" w:name="Tc_dqy1sx0wQ0aipe44hptjfQ_14_0"/>
      <w:bookmarkStart w:id="358" w:name="Tc_jDM4oXQPtEis__U089XQ8g_13_16"/>
      <w:bookmarkStart w:id="359" w:name="Tc_SvLJCnjZsE-b50B9lSrZNQ_13_12"/>
      <w:bookmarkStart w:id="360" w:name="Tc_U-aagXPg6UGaLUIIkID-3A_13_10"/>
      <w:bookmarkStart w:id="361" w:name="Tc_n9NgvxdR_kqParKGTR3KKQ_13_8"/>
      <w:bookmarkStart w:id="362" w:name="Tc_34aONmjVR0S9VpZ9TGcpZQ_13_6"/>
      <w:bookmarkStart w:id="363" w:name="Tc_vBsloIF5SEuAwr1QUU1LjQ_13_4"/>
      <w:bookmarkStart w:id="364" w:name="Tc_lDB_l-wJ10OlKGQ91UVdvw_13_2"/>
      <w:bookmarkStart w:id="365" w:name="Tc_SPAyQa745EmL5WFuQUmxxA_13_0"/>
      <w:bookmarkStart w:id="366" w:name="Tc_auB7UXsJJkOsva10UyzUZg_12_16"/>
      <w:bookmarkStart w:id="367" w:name="Tc_YyETocCXYkqb5Ox4L66xaA_12_12"/>
      <w:bookmarkStart w:id="368" w:name="Tc_BcmlIcLhuUK538IeqQR7Pw_12_10"/>
      <w:bookmarkStart w:id="369" w:name="Tc_ly8mzDU9lkCruRkuSkTUHQ_12_8"/>
      <w:bookmarkStart w:id="370" w:name="Tc_uXeFyTPdX0Km7XrjqHh6mA_12_6"/>
      <w:bookmarkStart w:id="371" w:name="Tc_Dou-p6vB1EyrMQD9_gORHw_12_4"/>
      <w:bookmarkStart w:id="372" w:name="Tc_RyXnZ0kb80CC76YwGgHMUQ_12_2"/>
      <w:bookmarkStart w:id="373" w:name="Tc_3neipQLlJkugxZmeZNVL7A_12_0"/>
      <w:bookmarkStart w:id="374" w:name="Tc_Gj3a_zyjVUu0cpfciovG_A_11_14"/>
      <w:bookmarkStart w:id="375" w:name="Tc_1jXdvYbyFEKS-ZdXhz9X5A_11_12"/>
      <w:bookmarkStart w:id="376" w:name="Tc_hEl1RY21lkii_lC3V-A3kw_11_8"/>
      <w:bookmarkStart w:id="377" w:name="Tc_GPp194OuAEmZsKbife1rsA_11_6"/>
      <w:bookmarkStart w:id="378" w:name="Tc_6M7kH8bkLEGOLDFtH3_R0A_11_4"/>
      <w:bookmarkStart w:id="379" w:name="Tc_rcOLTJZE7UKPGiSI-afJ2Q_11_2"/>
      <w:bookmarkStart w:id="380" w:name="Tc_ePFjcBHQjkSWweUDCgHJ9w_11_0"/>
      <w:bookmarkStart w:id="381" w:name="Tc_LxzHVXdPGEugucZuVf9UGQ_10_14"/>
      <w:bookmarkStart w:id="382" w:name="Tc_GmMTnQTWGE6ORX2PjHxlwA_10_12"/>
      <w:bookmarkStart w:id="383" w:name="Tc_KzrYK1kz5UWzwfwv_DLMiw_10_10"/>
      <w:bookmarkStart w:id="384" w:name="Tc_VKa11L45QEyBlIvTkWDvHw_10_8"/>
      <w:bookmarkStart w:id="385" w:name="Tc_0XLnt8MYIEGQ4GUOVj-AsQ_10_6"/>
      <w:bookmarkStart w:id="386" w:name="Tc_HGX8hv6hKk-2MRETN04lTg_10_4"/>
      <w:bookmarkStart w:id="387" w:name="Tc_Y8TMSeTgcUqzYbI-HhQxwg_10_2"/>
      <w:bookmarkStart w:id="388" w:name="Tc_NQm57zCmmE69U1ydIJEEkA_10_0"/>
      <w:bookmarkStart w:id="389" w:name="Tc_TJOx--D5c02_rpckXvuehQ_9_14"/>
      <w:bookmarkStart w:id="390" w:name="Tc_LWqRi6fnHEWMVsNZQo-8RQ_9_12"/>
      <w:bookmarkStart w:id="391" w:name="Tc_1fxwp_CBr0-t31-2z7oYBg_9_10"/>
      <w:bookmarkStart w:id="392" w:name="Tc_S9kwvlC4wEeY30d6skW1-Q_9_8"/>
      <w:bookmarkStart w:id="393" w:name="Tc_mvBdIQ9HdkKKxx0NlLEd1Q_9_6"/>
      <w:bookmarkStart w:id="394" w:name="Tc_7cDGgw_FLkSsQTBugF2BTQ_9_4"/>
      <w:bookmarkStart w:id="395" w:name="Tc_pprOEODMtEajjVcwjEbf6Q_9_2"/>
      <w:bookmarkStart w:id="396" w:name="Tc__zqkzoDi1EeYNAk5VKIXVA_9_0"/>
      <w:bookmarkStart w:id="397" w:name="Tc_q0PdD3wwQEOHKrbLgTT49A_8_14"/>
      <w:bookmarkStart w:id="398" w:name="Tc_xb8PvRB8fk63HYDMwDZFcw_8_10"/>
      <w:bookmarkStart w:id="399" w:name="Tc_3yqP27bJxUe6bnZQIJ9uBg_8_8"/>
      <w:bookmarkStart w:id="400" w:name="Tc_9_bOh6rK_k-stNwZJrma5w_8_6"/>
      <w:bookmarkStart w:id="401" w:name="Tc_ZFXxQw36fk-S1Ms4FDXIHg_8_4"/>
      <w:bookmarkStart w:id="402" w:name="Tc_FODtZe_fSkyXgIjkSmDuhA_8_2"/>
      <w:bookmarkStart w:id="403" w:name="Tc_ZcLOEnmB90qKIPuHySgKMg_8_0"/>
      <w:bookmarkStart w:id="404" w:name="Tc_BewBX8wMFUiQc9Olk0ceYA_7_16"/>
      <w:bookmarkStart w:id="405" w:name="Tc_qMhkzp3DcEKMMUJ7dO0z4g_7_14"/>
      <w:bookmarkStart w:id="406" w:name="Tc_a4FF_q3ZcESkRvU9RQXrYw_7_12"/>
      <w:bookmarkStart w:id="407" w:name="Tc_i-VYcsFl7kShXMeDA1XATw_7_8"/>
      <w:bookmarkStart w:id="408" w:name="Tc_atVsFI3ogku9cTCrKO7s5w_7_6"/>
      <w:bookmarkStart w:id="409" w:name="Tc_Yrb210U1bUqTALJJZ51ThQ_7_4"/>
      <w:bookmarkStart w:id="410" w:name="Tc_2nqNr5ti60qeeLS_hMUPHA_7_2"/>
      <w:bookmarkStart w:id="411" w:name="Tc_ieNnSUToFEWymzLuv-zT4w_7_0"/>
      <w:bookmarkStart w:id="412" w:name="Tc_u6xPT2yr_UeEsXURLbgGwA_6_16"/>
      <w:bookmarkStart w:id="413" w:name="Tc_3pywfV9sPEiQlO4ELyNWZQ_6_14"/>
      <w:bookmarkStart w:id="414" w:name="Tc_dpmDiwGqUUO9GBlrE8oXFA_6_12"/>
      <w:bookmarkStart w:id="415" w:name="Tc_aAgAd-lXbk6wxHjMwaVdHg_6_8"/>
      <w:bookmarkStart w:id="416" w:name="Tc_jdJq0MFVU0GYNNheVC5d_w_6_6"/>
      <w:bookmarkStart w:id="417" w:name="Tc_vcd562ZOuUet7A4JRdZjHQ_6_0"/>
      <w:bookmarkStart w:id="418" w:name="Tc_NjCUK6hoWEu80qnjgWXQlA_5_16"/>
      <w:bookmarkStart w:id="419" w:name="Tc_Y6jg-bEfgEC679roNu9yEw_5_14"/>
      <w:bookmarkStart w:id="420" w:name="Tc_mL5sPWsPREuurXlsw6EwYA_5_12"/>
      <w:bookmarkStart w:id="421" w:name="Tc_jqSn0rW_dUKi4WnUGqAyvA_5_4"/>
      <w:bookmarkStart w:id="422" w:name="Tc_K-IMr_bB9UK59PNOEvdguQ_5_0"/>
      <w:bookmarkStart w:id="423" w:name="Tc_TtJrSBvgiUq1Ifk1-FTjYw_4_0"/>
      <w:bookmarkStart w:id="424" w:name="Tc_MRPgfJeQ5kKIIk0FvQg6rQ_3_18"/>
      <w:bookmarkStart w:id="425" w:name="Tc_SpIogF_Yyk2XnOtGlHK6Eg_3_16"/>
      <w:bookmarkStart w:id="426" w:name="Tc_3wkrMl8a0keTOxXkgealaA_3_14"/>
      <w:bookmarkStart w:id="427" w:name="Tc_99Ud_ZzlaUeI_bcjOP_smw_3_12"/>
      <w:bookmarkStart w:id="428" w:name="Tc_NcbnssNsi0KpGErbBImrbA_3_10"/>
      <w:bookmarkStart w:id="429" w:name="Tc_5ULAgfQBJ0uiNG6Olr2lPA_3_8"/>
      <w:bookmarkStart w:id="430" w:name="Tc_2pLe0mchQ0mHTJL4y1qpVQ_3_6"/>
      <w:bookmarkStart w:id="431" w:name="Tc_0n7JHOM99EqhQsZloI5gYA_3_4"/>
      <w:bookmarkStart w:id="432" w:name="Tc__JkYTB4mRk6DX8I8bEh_-Q_3_2"/>
      <w:bookmarkStart w:id="433" w:name="Tc_uXKNhFzTekaC_XHF2f0dVg_2_16"/>
      <w:bookmarkStart w:id="434" w:name="Tc_4ZOTeFtDyUC2h3ioVUGbhw_2_14"/>
      <w:bookmarkStart w:id="435" w:name="Tc_A7Uw8SJFlESG4e-cbBJ_eA_2_12"/>
      <w:bookmarkStart w:id="436" w:name="Tc_kEvKQcvFJE-wFBU8fvkWyw_2_10"/>
      <w:bookmarkStart w:id="437" w:name="Tc_ohv9Bq0yUkOQpcF9rvpZlA_2_2"/>
      <w:bookmarkStart w:id="438" w:name="Tc_T3Ts7gfyIESC-gla-PJLNw_1_14"/>
      <w:bookmarkStart w:id="439" w:name="Tc_sxhx7NnPpUuw-x5cnBWbxA_1_6"/>
      <w:bookmarkStart w:id="440" w:name="Tc_MbmnBthtCEuoqJbofuOgDQ_1_2"/>
      <w:bookmarkStart w:id="441" w:name="_823e4b09_10dd_4cce_9629_ecac51dc7c8d"/>
      <w:bookmarkStart w:id="442" w:name="Tc_r7uX3LgAi0e7yox6xIiRXg_33_0"/>
      <w:bookmarkStart w:id="443" w:name="Tc_3iMenAsxREqzLn51qd3a0w_32_16"/>
      <w:bookmarkStart w:id="444" w:name="Tc__afrTzI3SU6mk0CknNxCZA_32_14"/>
      <w:bookmarkStart w:id="445" w:name="Tc_OCRBAQzI20aW1N78xcxckw_32_10"/>
      <w:bookmarkStart w:id="446" w:name="Tc_uT4kH0ZIM0qJjpkCkeT1NA_32_8"/>
      <w:bookmarkStart w:id="447" w:name="Tc_qj6p5SI230esQh_nULOqzA_32_6"/>
      <w:bookmarkStart w:id="448" w:name="Tc_e3Ak8i5lLk2QLzj7srKG1g_32_4"/>
      <w:bookmarkStart w:id="449" w:name="Tc_xWwoawh5JUWY-DH8KOZojQ_32_2"/>
      <w:bookmarkStart w:id="450" w:name="Tc_U7XqvP9fyUqNQB-3hazABQ_32_0"/>
      <w:bookmarkStart w:id="451" w:name="Tc_pQHIacv3a0mSqkeX0W7CAg_31_14"/>
      <w:bookmarkStart w:id="452" w:name="Tc_GWKzjRViAEabW51vH2R76g_31_12"/>
      <w:bookmarkStart w:id="453" w:name="Tc_8mZyTCC7kE-PLrcuqHY2YQ_31_10"/>
      <w:bookmarkStart w:id="454" w:name="Tc_NDQhlCav00q7nLWTroD5fQ_31_8"/>
      <w:bookmarkStart w:id="455" w:name="Tc_mEoqQDz0IkO-V3TEZWdiAg_31_6"/>
      <w:bookmarkStart w:id="456" w:name="Tc_A1yu_qMQaEuqk7dpDrE6kA_31_4"/>
      <w:bookmarkStart w:id="457" w:name="Tc_PcSeVvP1PkiYRFyjxdr3yw_31_2"/>
      <w:bookmarkStart w:id="458" w:name="Tc_aOL0R4k0hUSQU4li_-JGNA_31_0"/>
      <w:bookmarkStart w:id="459" w:name="Tc_7bxpYZqFPECY7wJPNlH79g_30_16"/>
      <w:bookmarkStart w:id="460" w:name="Tc_6r1OM2JkxESMsd3HuhtsEQ_30_14"/>
      <w:bookmarkStart w:id="461" w:name="Tc_dR3Z0E3gT0an5znGP6uFZg_30_12"/>
      <w:bookmarkStart w:id="462" w:name="Tc_B9WO687FsUu_E3FqAQRvVg_30_10"/>
      <w:bookmarkStart w:id="463" w:name="Tc_QfuX1e9_okexMBrsJzOKNg_30_4"/>
      <w:bookmarkStart w:id="464" w:name="Tc_xB8pfTCiJEasJMjt0al0Cw_30_0"/>
      <w:bookmarkStart w:id="465" w:name="Tc_GgfmaZMljkysFu-fyAhXLQ_29_16"/>
      <w:bookmarkStart w:id="466" w:name="Tc_hK3_pSrBh0CMYHPs_rWSzw_29_12"/>
      <w:bookmarkStart w:id="467" w:name="Tc_YAzksV4mwESt_pdlrCZc3A_29_10"/>
      <w:bookmarkStart w:id="468" w:name="Tc_S_Ficu9c0Uuw6yLWmOiM7A_29_8"/>
      <w:bookmarkStart w:id="469" w:name="Tc_UdPfoyJsqEWJAYF38uQRDw_29_6"/>
      <w:bookmarkStart w:id="470" w:name="Tc_R3yxJIjCqEuwwg9QL6x5Ww_29_4"/>
      <w:bookmarkStart w:id="471" w:name="Tc_E-JGzq98TE-F5BgEAcV5yg_29_2"/>
      <w:bookmarkStart w:id="472" w:name="Tc_ayRTLEHQYEizdBUIkz33Vg_29_0"/>
      <w:bookmarkStart w:id="473" w:name="Tc_Mf8Ob5aWjkShCKJzr07mjA_28_18"/>
      <w:bookmarkStart w:id="474" w:name="Tc_b_ufaYJlWEy5wjQRZn5f6w_28_16"/>
      <w:bookmarkStart w:id="475" w:name="Tc_X3KLzvnHDEKmO6-r2SWANQ_28_14"/>
      <w:bookmarkStart w:id="476" w:name="Tc_VIgdH5gwLkmFiEOn9ARuTQ_28_12"/>
      <w:bookmarkStart w:id="477" w:name="Tc_iDfcXFVcLUuUjpKlwqaMxA_28_10"/>
      <w:bookmarkStart w:id="478" w:name="Tc_2ptrRlePtEuxpdOcF1mV4Q_28_8"/>
      <w:bookmarkStart w:id="479" w:name="Tc_67HfcTjx8kOygzVNSpgfgA_28_6"/>
      <w:bookmarkStart w:id="480" w:name="Tc_Ll2WHUOPuEaKFUdYcsoFiQ_28_4"/>
      <w:bookmarkStart w:id="481" w:name="Tc_DWL8umaP4EG7UY2mzpKOKw_28_2"/>
      <w:bookmarkStart w:id="482" w:name="Tc_aqWoBSSfxESjZwmKzgs54g_28_0"/>
      <w:bookmarkStart w:id="483" w:name="Tc_R60KB9t_FUytrz-YZ2Uo0A_27_18"/>
      <w:bookmarkStart w:id="484" w:name="Tc_HmfwEMzdP0G1t2lsyKtUow_27_16"/>
      <w:bookmarkStart w:id="485" w:name="Tc_xn9LnwuSGE6H8s8Hevk1qg_27_14"/>
      <w:bookmarkStart w:id="486" w:name="Tc_lAH3-j8780qf8QgTebp0Lw_27_12"/>
      <w:bookmarkStart w:id="487" w:name="Tc_lHtBaGU0fUOKl3VSv7Le2A_27_10"/>
      <w:bookmarkStart w:id="488" w:name="Tc_yWcDEbDFHE-LKNh02DSRxw_27_8"/>
      <w:bookmarkStart w:id="489" w:name="Tc_MmYL4cn4uEe918-pBDnKaw_27_6"/>
      <w:bookmarkStart w:id="490" w:name="Tc_sMpoZRov_kC4m56JlfnHfA_27_4"/>
      <w:bookmarkStart w:id="491" w:name="Tc_k65_Wa0HBUaH50vlG4iiVA_27_2"/>
      <w:bookmarkStart w:id="492" w:name="Tc_5DB3_HmgZUeC2yV5cFH1zQ_27_0"/>
      <w:bookmarkStart w:id="493" w:name="Tc_HvUSj2RrJkydYZl1xNkqpg_26_18"/>
      <w:bookmarkStart w:id="494" w:name="Tc_HihyCguwcUarUhBYJVVZnQ_26_16"/>
      <w:bookmarkStart w:id="495" w:name="Tc_fzogD3LULEyijjOGS0M3pw_26_14"/>
      <w:bookmarkStart w:id="496" w:name="Tc_YO9Rnw-nfkygGQ0wQbfYAw_26_12"/>
      <w:bookmarkStart w:id="497" w:name="Tc_14PobSSPfUiuOLDYxl5p3g_26_10"/>
      <w:bookmarkStart w:id="498" w:name="Tc_YgQ4-wH9MkOv2jD6iMAEoA_26_8"/>
      <w:bookmarkStart w:id="499" w:name="Tc_SnsmccsoQk-BPKwE4mikRw_26_6"/>
      <w:bookmarkStart w:id="500" w:name="Tc_rVyfOnTBYki_vEYB8VznCg_26_4"/>
      <w:bookmarkStart w:id="501" w:name="Tc_QHvpk_H_1UqB4V9jX6u4tA_26_2"/>
      <w:bookmarkStart w:id="502" w:name="Tc_fFa_Uxm4Gk-F5dMjOO-vpA_26_0"/>
      <w:bookmarkStart w:id="503" w:name="Tc_9T_0fq1ZHkWCQokFReD4sw_25_14"/>
      <w:bookmarkStart w:id="504" w:name="Tc_-kx3beuloUWiapWIN-uOPA_25_12"/>
      <w:bookmarkStart w:id="505" w:name="Tc_yXZmYexlsUuoO4NVS4J1BA_25_10"/>
      <w:bookmarkStart w:id="506" w:name="Tc_ulojeZJ9OkqMCyWVs5JPkg_25_8"/>
      <w:bookmarkStart w:id="507" w:name="Tc_TRsZwxTptUSJh64uH0uPfA_25_6"/>
      <w:bookmarkStart w:id="508" w:name="Tc_wm62hgNCK0quftnQnZPzfQ_25_4"/>
      <w:bookmarkStart w:id="509" w:name="Tc_XCQZF9LZK0KJPHz_Utt7Kw_25_2"/>
      <w:bookmarkStart w:id="510" w:name="Tc_J04d19_PI0e2t87qJC715g_25_0"/>
      <w:bookmarkStart w:id="511" w:name="Tc_vH3N5UAmzUCFAgDbouZO7A_24_14"/>
      <w:bookmarkStart w:id="512" w:name="Tc_MHsINbMspkCgxXrbO-7emg_24_10"/>
      <w:bookmarkStart w:id="513" w:name="Tc_QFtbZY0vUkOLq6gtuUFO5Q_24_8"/>
      <w:bookmarkStart w:id="514" w:name="Tc_xnz2TjYETUCyNGVZDpMCMA_24_6"/>
      <w:bookmarkStart w:id="515" w:name="Tc_g8oWJ89ge0SkQ9-Yi3pDhA_24_4"/>
      <w:bookmarkStart w:id="516" w:name="Tc_DQBVM-KBqUqllUwZ0zwvMQ_24_2"/>
      <w:bookmarkStart w:id="517" w:name="Tc_w9CyPVNCHEWsvi_93G4waw_24_0"/>
      <w:bookmarkStart w:id="518" w:name="Tc_T3braBJxzEC1iWDMVpe4Jg_23_16"/>
      <w:bookmarkStart w:id="519" w:name="Tc_1fJ9-gZ8zEm-jeuGSgs6hQ_23_14"/>
      <w:bookmarkStart w:id="520" w:name="Tc_x41dMnTRkUGyMZYSQl9Vdw_23_12"/>
      <w:bookmarkStart w:id="521" w:name="Tc_nq7Bw6tKLEy2cWwJDS5GWg_23_8"/>
      <w:bookmarkStart w:id="522" w:name="Tc_2Bq3ob8NgESfw1MFw_qVUg_23_6"/>
      <w:bookmarkStart w:id="523" w:name="Tc_sK1Vx-nSpkO-boCsfEjsWQ_23_4"/>
      <w:bookmarkStart w:id="524" w:name="Tc_TGAC1ZkZ0E6bt3X5j8GP_w_23_2"/>
      <w:bookmarkStart w:id="525" w:name="Tc_VbN0FIVkt0KhgMH-E7KkvQ_23_0"/>
      <w:bookmarkStart w:id="526" w:name="Tc_sLBy3HFI7UKBXNsM9-BlWA_22_16"/>
      <w:bookmarkStart w:id="527" w:name="Tc_ng19A7gwNkaIDhirS80MOw_22_14"/>
      <w:bookmarkStart w:id="528" w:name="Tc_cUue7lS0HU2Ag8Trqf4KOA_22_12"/>
      <w:bookmarkStart w:id="529" w:name="Tc_6lYu_eNTOUmvWA69-LrDEA_22_8"/>
      <w:bookmarkStart w:id="530" w:name="Tc_eMLKJ5HMCEuCiEmtm5EeAg_22_6"/>
      <w:bookmarkStart w:id="531" w:name="Tc_hkA0AhpSdkSR3PidshVRbA_22_0"/>
      <w:bookmarkStart w:id="532" w:name="Tc_dmSXU7ASBkWUssx9wuAHFQ_21_18"/>
      <w:bookmarkStart w:id="533" w:name="Tc_qs9whppvGkCyjfBY2fpBuw_21_16"/>
      <w:bookmarkStart w:id="534" w:name="Tc_vMGZH96BgkKVWfnrLOgDLw_21_14"/>
      <w:bookmarkStart w:id="535" w:name="Tc_95O6wUtsHkea-KNLQFMhoA_21_12"/>
      <w:bookmarkStart w:id="536" w:name="Tc_m9ResNhE_USbr6Ot_ZOeLQ_21_8"/>
      <w:bookmarkStart w:id="537" w:name="Tc_E0Ml6CVGz0yDuqA1siKOXw_21_6"/>
      <w:bookmarkStart w:id="538" w:name="Tc_hSrCIWQF5USEDhb2GIM6Xg_21_0"/>
      <w:bookmarkStart w:id="539" w:name="Tc_SYUDDGuq_kqmeiGheNew3w_20_16"/>
      <w:bookmarkStart w:id="540" w:name="Tc_IhNfyC__A0CZx0AYT6a1_Q_20_14"/>
      <w:bookmarkStart w:id="541" w:name="Tc_XSrRZnmslEa1WM27RrT42A_20_12"/>
      <w:bookmarkStart w:id="542" w:name="Tc_Rx9Rd1f8KUK_YKQaerWwiQ_20_4"/>
      <w:bookmarkStart w:id="543" w:name="Tc_bofix8E5ekW8vu7QcUtgwA_20_0"/>
      <w:bookmarkStart w:id="544" w:name="Tc_mEA7VemBWUqoKMrZSIDNDQ_19_0"/>
      <w:bookmarkStart w:id="545" w:name="Tc_vG2UIudU4E6U0GaNSesXag_17_0"/>
      <w:bookmarkStart w:id="546" w:name="Tc_EupSjinhpUa0vwZO-6LRnA_16_16"/>
      <w:bookmarkStart w:id="547" w:name="Tc_atkVZF1a1kGZ1I0lXrAdtw_16_12"/>
      <w:bookmarkStart w:id="548" w:name="Tc_Xbszg1Ff0U6O0o8l3YjWFA_16_10"/>
      <w:bookmarkStart w:id="549" w:name="Tc_2hqdmcwm_UiINbHmWjh-Jw_16_8"/>
      <w:bookmarkStart w:id="550" w:name="Tc_v4-1yyXYa0i8U7t1ptwWQg_16_6"/>
      <w:bookmarkStart w:id="551" w:name="Tc_7ufLS5yo6Uu0-qb7HDE9VQ_16_4"/>
      <w:bookmarkStart w:id="552" w:name="Tc_13UbZONYkEOWocrhwFW6Zg_16_2"/>
      <w:bookmarkStart w:id="553" w:name="Tc_adRFQ3TPI0q8DFrn5PfJqw_16_0"/>
      <w:bookmarkStart w:id="554" w:name="Tc_8UErom-PEEu2WZFOMdtF4w_15_16"/>
      <w:bookmarkStart w:id="555" w:name="Tc_z-sxJUYRVkepkAetdwplFQ_15_14"/>
      <w:bookmarkStart w:id="556" w:name="Tc_bXgXWkZ7AUGf1EtTsQMW4Q_15_10"/>
      <w:bookmarkStart w:id="557" w:name="Tc_o6dQTt_bBUyKYMnfO0A7qg_15_8"/>
      <w:bookmarkStart w:id="558" w:name="Tc_Bbcu_XL3k0mcbUz-_Mixlg_15_6"/>
      <w:bookmarkStart w:id="559" w:name="Tc_Fi6v-8cwlEyUq7H3JUq40w_15_4"/>
      <w:bookmarkStart w:id="560" w:name="Tc_SN2_aO3XgkS393MhYXS58w_15_2"/>
      <w:bookmarkStart w:id="561" w:name="Tc_LTLTFW5dPEenSdtvADDuLw_15_0"/>
      <w:bookmarkStart w:id="562" w:name="Tc_0evYD4msc0y0xDuyE4iM_A_14_16"/>
      <w:bookmarkStart w:id="563" w:name="Tc_L5URQGVlwE6IsUKdeEmLzQ_14_14"/>
      <w:bookmarkStart w:id="564" w:name="Tc_1OPP8YV2Ykq4YEOeEVSO3w_14_12"/>
      <w:bookmarkStart w:id="565" w:name="Tc_CW0ARf6F2keJeTFTzLlINQ_14_10"/>
      <w:bookmarkStart w:id="566" w:name="Tc_bDL3XD6ci0Oc4-5D3K1oHA_14_4"/>
      <w:bookmarkStart w:id="567" w:name="Tc_dqy1sx0wQ0aipe44hptjfQ_14_0"/>
      <w:bookmarkStart w:id="568" w:name="Tc_jDM4oXQPtEis__U089XQ8g_13_16"/>
      <w:bookmarkStart w:id="569" w:name="Tc_SvLJCnjZsE-b50B9lSrZNQ_13_12"/>
      <w:bookmarkStart w:id="570" w:name="Tc_U-aagXPg6UGaLUIIkID-3A_13_10"/>
      <w:bookmarkStart w:id="571" w:name="Tc_n9NgvxdR_kqParKGTR3KKQ_13_8"/>
      <w:bookmarkStart w:id="572" w:name="Tc_34aONmjVR0S9VpZ9TGcpZQ_13_6"/>
      <w:bookmarkStart w:id="573" w:name="Tc_vBsloIF5SEuAwr1QUU1LjQ_13_4"/>
      <w:bookmarkStart w:id="574" w:name="Tc_lDB_l-wJ10OlKGQ91UVdvw_13_2"/>
      <w:bookmarkStart w:id="575" w:name="Tc_SPAyQa745EmL5WFuQUmxxA_13_0"/>
      <w:bookmarkStart w:id="576" w:name="Tc_auB7UXsJJkOsva10UyzUZg_12_16"/>
      <w:bookmarkStart w:id="577" w:name="Tc_YyETocCXYkqb5Ox4L66xaA_12_12"/>
      <w:bookmarkStart w:id="578" w:name="Tc_BcmlIcLhuUK538IeqQR7Pw_12_10"/>
      <w:bookmarkStart w:id="579" w:name="Tc_ly8mzDU9lkCruRkuSkTUHQ_12_8"/>
      <w:bookmarkStart w:id="580" w:name="Tc_uXeFyTPdX0Km7XrjqHh6mA_12_6"/>
      <w:bookmarkStart w:id="581" w:name="Tc_Dou-p6vB1EyrMQD9_gORHw_12_4"/>
      <w:bookmarkStart w:id="582" w:name="Tc_RyXnZ0kb80CC76YwGgHMUQ_12_2"/>
      <w:bookmarkStart w:id="583" w:name="Tc_3neipQLlJkugxZmeZNVL7A_12_0"/>
      <w:bookmarkStart w:id="584" w:name="Tc_Gj3a_zyjVUu0cpfciovG_A_11_14"/>
      <w:bookmarkStart w:id="585" w:name="Tc_1jXdvYbyFEKS-ZdXhz9X5A_11_12"/>
      <w:bookmarkStart w:id="586" w:name="Tc_hEl1RY21lkii_lC3V-A3kw_11_8"/>
      <w:bookmarkStart w:id="587" w:name="Tc_GPp194OuAEmZsKbife1rsA_11_6"/>
      <w:bookmarkStart w:id="588" w:name="Tc_6M7kH8bkLEGOLDFtH3_R0A_11_4"/>
      <w:bookmarkStart w:id="589" w:name="Tc_rcOLTJZE7UKPGiSI-afJ2Q_11_2"/>
      <w:bookmarkStart w:id="590" w:name="Tc_ePFjcBHQjkSWweUDCgHJ9w_11_0"/>
      <w:bookmarkStart w:id="591" w:name="Tc_LxzHVXdPGEugucZuVf9UGQ_10_14"/>
      <w:bookmarkStart w:id="592" w:name="Tc_GmMTnQTWGE6ORX2PjHxlwA_10_12"/>
      <w:bookmarkStart w:id="593" w:name="Tc_KzrYK1kz5UWzwfwv_DLMiw_10_10"/>
      <w:bookmarkStart w:id="594" w:name="Tc_VKa11L45QEyBlIvTkWDvHw_10_8"/>
      <w:bookmarkStart w:id="595" w:name="Tc_0XLnt8MYIEGQ4GUOVj-AsQ_10_6"/>
      <w:bookmarkStart w:id="596" w:name="Tc_HGX8hv6hKk-2MRETN04lTg_10_4"/>
      <w:bookmarkStart w:id="597" w:name="Tc_Y8TMSeTgcUqzYbI-HhQxwg_10_2"/>
      <w:bookmarkStart w:id="598" w:name="Tc_NQm57zCmmE69U1ydIJEEkA_10_0"/>
      <w:bookmarkStart w:id="599" w:name="Tc_TJOx--D5c02_rpckXvuehQ_9_14"/>
      <w:bookmarkStart w:id="600" w:name="Tc_LWqRi6fnHEWMVsNZQo-8RQ_9_12"/>
      <w:bookmarkStart w:id="601" w:name="Tc_1fxwp_CBr0-t31-2z7oYBg_9_10"/>
      <w:bookmarkStart w:id="602" w:name="Tc_S9kwvlC4wEeY30d6skW1-Q_9_8"/>
      <w:bookmarkStart w:id="603" w:name="Tc_mvBdIQ9HdkKKxx0NlLEd1Q_9_6"/>
      <w:bookmarkStart w:id="604" w:name="Tc_7cDGgw_FLkSsQTBugF2BTQ_9_4"/>
      <w:bookmarkStart w:id="605" w:name="Tc_pprOEODMtEajjVcwjEbf6Q_9_2"/>
      <w:bookmarkStart w:id="606" w:name="Tc__zqkzoDi1EeYNAk5VKIXVA_9_0"/>
      <w:bookmarkStart w:id="607" w:name="Tc_q0PdD3wwQEOHKrbLgTT49A_8_14"/>
      <w:bookmarkStart w:id="608" w:name="Tc_xb8PvRB8fk63HYDMwDZFcw_8_10"/>
      <w:bookmarkStart w:id="609" w:name="Tc_3yqP27bJxUe6bnZQIJ9uBg_8_8"/>
      <w:bookmarkStart w:id="610" w:name="Tc_9_bOh6rK_k-stNwZJrma5w_8_6"/>
      <w:bookmarkStart w:id="611" w:name="Tc_ZFXxQw36fk-S1Ms4FDXIHg_8_4"/>
      <w:bookmarkStart w:id="612" w:name="Tc_FODtZe_fSkyXgIjkSmDuhA_8_2"/>
      <w:bookmarkStart w:id="613" w:name="Tc_ZcLOEnmB90qKIPuHySgKMg_8_0"/>
      <w:bookmarkStart w:id="614" w:name="Tc_BewBX8wMFUiQc9Olk0ceYA_7_16"/>
      <w:bookmarkStart w:id="615" w:name="Tc_qMhkzp3DcEKMMUJ7dO0z4g_7_14"/>
      <w:bookmarkStart w:id="616" w:name="Tc_a4FF_q3ZcESkRvU9RQXrYw_7_12"/>
      <w:bookmarkStart w:id="617" w:name="Tc_i-VYcsFl7kShXMeDA1XATw_7_8"/>
      <w:bookmarkStart w:id="618" w:name="Tc_atVsFI3ogku9cTCrKO7s5w_7_6"/>
      <w:bookmarkStart w:id="619" w:name="Tc_Yrb210U1bUqTALJJZ51ThQ_7_4"/>
      <w:bookmarkStart w:id="620" w:name="Tc_2nqNr5ti60qeeLS_hMUPHA_7_2"/>
      <w:bookmarkStart w:id="621" w:name="Tc_ieNnSUToFEWymzLuv-zT4w_7_0"/>
      <w:bookmarkStart w:id="622" w:name="Tc_u6xPT2yr_UeEsXURLbgGwA_6_16"/>
      <w:bookmarkStart w:id="623" w:name="Tc_3pywfV9sPEiQlO4ELyNWZQ_6_14"/>
      <w:bookmarkStart w:id="624" w:name="Tc_dpmDiwGqUUO9GBlrE8oXFA_6_12"/>
      <w:bookmarkStart w:id="625" w:name="Tc_aAgAd-lXbk6wxHjMwaVdHg_6_8"/>
      <w:bookmarkStart w:id="626" w:name="Tc_jdJq0MFVU0GYNNheVC5d_w_6_6"/>
      <w:bookmarkStart w:id="627" w:name="Tc_vcd562ZOuUet7A4JRdZjHQ_6_0"/>
      <w:bookmarkStart w:id="628" w:name="Tc_NjCUK6hoWEu80qnjgWXQlA_5_16"/>
      <w:bookmarkStart w:id="629" w:name="Tc_Y6jg-bEfgEC679roNu9yEw_5_14"/>
      <w:bookmarkStart w:id="630" w:name="Tc_mL5sPWsPREuurXlsw6EwYA_5_12"/>
      <w:bookmarkStart w:id="631" w:name="Tc_jqSn0rW_dUKi4WnUGqAyvA_5_4"/>
      <w:bookmarkStart w:id="632" w:name="Tc_K-IMr_bB9UK59PNOEvdguQ_5_0"/>
      <w:bookmarkStart w:id="633" w:name="Tc_TtJrSBvgiUq1Ifk1-FTjYw_4_0"/>
      <w:bookmarkStart w:id="634" w:name="Tc_MRPgfJeQ5kKIIk0FvQg6rQ_3_18"/>
      <w:bookmarkStart w:id="635" w:name="Tc_SpIogF_Yyk2XnOtGlHK6Eg_3_16"/>
      <w:bookmarkStart w:id="636" w:name="Tc_3wkrMl8a0keTOxXkgealaA_3_14"/>
      <w:bookmarkStart w:id="637" w:name="Tc_99Ud_ZzlaUeI_bcjOP_smw_3_12"/>
      <w:bookmarkStart w:id="638" w:name="Tc_NcbnssNsi0KpGErbBImrbA_3_10"/>
      <w:bookmarkStart w:id="639" w:name="Tc_5ULAgfQBJ0uiNG6Olr2lPA_3_8"/>
      <w:bookmarkStart w:id="640" w:name="Tc_2pLe0mchQ0mHTJL4y1qpVQ_3_6"/>
      <w:bookmarkStart w:id="641" w:name="Tc_0n7JHOM99EqhQsZloI5gYA_3_4"/>
      <w:bookmarkStart w:id="642" w:name="Tc__JkYTB4mRk6DX8I8bEh_-Q_3_2"/>
      <w:bookmarkStart w:id="643" w:name="Tc_uXKNhFzTekaC_XHF2f0dVg_2_16"/>
      <w:bookmarkStart w:id="644" w:name="Tc_4ZOTeFtDyUC2h3ioVUGbhw_2_14"/>
      <w:bookmarkStart w:id="645" w:name="Tc_A7Uw8SJFlESG4e-cbBJ_eA_2_12"/>
      <w:bookmarkStart w:id="646" w:name="Tc_kEvKQcvFJE-wFBU8fvkWyw_2_10"/>
      <w:bookmarkStart w:id="647" w:name="Tc_ohv9Bq0yUkOQpcF9rvpZlA_2_2"/>
      <w:bookmarkStart w:id="648" w:name="Tc_T3Ts7gfyIESC-gla-PJLNw_1_14"/>
      <w:bookmarkStart w:id="649" w:name="Tc_sxhx7NnPpUuw-x5cnBWbxA_1_6"/>
      <w:bookmarkStart w:id="650" w:name="Tc_MbmnBthtCEuoqJbofuOgDQ_1_2"/>
      <w:bookmarkStart w:id="651" w:name="_823e4b09_10dd_4cce_9629_ecac51dc7c8d"/>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tbl>
      <w:tblPr>
        <w:tblW w:w="10864" w:type="dxa"/>
        <w:jc w:val="left"/>
        <w:tblInd w:w="0" w:type="dxa"/>
        <w:tblLayout w:type="fixed"/>
        <w:tblCellMar>
          <w:top w:w="0" w:type="dxa"/>
          <w:left w:w="0" w:type="dxa"/>
          <w:bottom w:w="0" w:type="dxa"/>
          <w:right w:w="0" w:type="dxa"/>
        </w:tblCellMar>
      </w:tblPr>
      <w:tblGrid>
        <w:gridCol w:w="826"/>
        <w:gridCol w:w="346"/>
        <w:gridCol w:w="796"/>
        <w:gridCol w:w="346"/>
        <w:gridCol w:w="526"/>
        <w:gridCol w:w="346"/>
        <w:gridCol w:w="691"/>
        <w:gridCol w:w="346"/>
        <w:gridCol w:w="526"/>
        <w:gridCol w:w="346"/>
        <w:gridCol w:w="1021"/>
        <w:gridCol w:w="346"/>
        <w:gridCol w:w="571"/>
        <w:gridCol w:w="346"/>
        <w:gridCol w:w="1141"/>
        <w:gridCol w:w="346"/>
        <w:gridCol w:w="871"/>
        <w:gridCol w:w="346"/>
        <w:gridCol w:w="781"/>
      </w:tblGrid>
      <w:tr>
        <w:trPr/>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24510" cy="175260"/>
                      <wp:effectExtent l="0" t="0" r="0" b="0"/>
                      <wp:wrapNone/>
                      <wp:docPr id="20" name="Frame2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05460" cy="175260"/>
                      <wp:effectExtent l="0" t="0" r="0" b="0"/>
                      <wp:wrapNone/>
                      <wp:docPr id="22" name="Frame2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34010" cy="175260"/>
                      <wp:effectExtent l="0" t="0" r="0" b="0"/>
                      <wp:wrapNone/>
                      <wp:docPr id="24" name="Frame24"/>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38785" cy="175260"/>
                      <wp:effectExtent l="0" t="0" r="0" b="0"/>
                      <wp:wrapNone/>
                      <wp:docPr id="26" name="Frame2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334010" cy="175260"/>
                      <wp:effectExtent l="0" t="0" r="0" b="0"/>
                      <wp:wrapNone/>
                      <wp:docPr id="28" name="Frame28"/>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335" cy="175260"/>
                      <wp:effectExtent l="0" t="0" r="0" b="0"/>
                      <wp:wrapNone/>
                      <wp:docPr id="30" name="Frame30"/>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62585" cy="175260"/>
                      <wp:effectExtent l="0" t="0" r="0" b="0"/>
                      <wp:wrapNone/>
                      <wp:docPr id="32" name="Frame3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724535" cy="175260"/>
                      <wp:effectExtent l="0" t="0" r="0" b="0"/>
                      <wp:wrapNone/>
                      <wp:docPr id="34" name="Frame3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53085" cy="175260"/>
                      <wp:effectExtent l="0" t="0" r="0" b="0"/>
                      <wp:wrapNone/>
                      <wp:docPr id="36" name="Frame3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95935" cy="175260"/>
                      <wp:effectExtent l="0" t="0" r="0" b="0"/>
                      <wp:wrapNone/>
                      <wp:docPr id="38" name="Frame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Ordinary Shares</w:t>
            </w:r>
          </w:p>
        </w:tc>
        <w:tc>
          <w:tcPr>
            <w:tcW w:w="346" w:type="dxa"/>
            <w:tcBorders/>
            <w:vAlign w:val="center"/>
          </w:tcPr>
          <w:p>
            <w:pPr>
              <w:pStyle w:val="TableContents"/>
              <w:bidi w:val="0"/>
              <w:spacing w:before="0" w:after="0"/>
              <w:ind w:left="0" w:right="0" w:hanging="0"/>
              <w:jc w:val="center"/>
              <w:rPr/>
            </w:pPr>
            <w:r>
              <w:rPr/>
              <w:t>​</w:t>
            </w:r>
          </w:p>
        </w:tc>
        <w:tc>
          <w:tcPr>
            <w:tcW w:w="15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Treasury Shares</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Accumulated Other</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Outstanding</w:t>
            </w:r>
          </w:p>
        </w:tc>
        <w:tc>
          <w:tcPr>
            <w:tcW w:w="346"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5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Additional Paid-in</w:t>
            </w:r>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Retained</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Comprehensive</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Noncontrolling</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0"/>
              <w:ind w:left="0" w:right="0" w:hanging="0"/>
              <w:jc w:val="left"/>
              <w:rPr/>
            </w:pPr>
            <w:r>
              <w:rPr/>
              <w:t>  ​ ​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left"/>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0"/>
              <w:ind w:left="0" w:right="0" w:hanging="0"/>
              <w:jc w:val="left"/>
              <w:rPr/>
            </w:pPr>
            <w:r>
              <w:rPr/>
              <w:t>  ​ ​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46" w:type="dxa"/>
            <w:tcBorders/>
            <w:vAlign w:val="center"/>
          </w:tcPr>
          <w:p>
            <w:pPr>
              <w:pStyle w:val="TableContents"/>
              <w:bidi w:val="0"/>
              <w:spacing w:before="0" w:after="0"/>
              <w:ind w:left="0" w:right="0" w:hanging="0"/>
              <w:jc w:val="left"/>
              <w:rPr/>
            </w:pPr>
            <w:r>
              <w:rPr/>
              <w:t>  ​ ​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Earnings</w:t>
            </w:r>
          </w:p>
        </w:tc>
        <w:tc>
          <w:tcPr>
            <w:tcW w:w="346" w:type="dxa"/>
            <w:tcBorders/>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Income</w:t>
            </w:r>
          </w:p>
        </w:tc>
        <w:tc>
          <w:tcPr>
            <w:tcW w:w="346" w:type="dxa"/>
            <w:tcBorders/>
            <w:vAlign w:val="center"/>
          </w:tcPr>
          <w:p>
            <w:pPr>
              <w:pStyle w:val="TableContents"/>
              <w:bidi w:val="0"/>
              <w:spacing w:before="0" w:after="0"/>
              <w:ind w:left="0" w:right="0" w:hanging="0"/>
              <w:jc w:val="left"/>
              <w:rPr/>
            </w:pPr>
            <w:r>
              <w:rPr/>
              <w:t>  ​ ​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Interest</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Total Equity</w:t>
            </w:r>
          </w:p>
        </w:tc>
      </w:tr>
      <w:tr>
        <w:trPr/>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Balance at January 1, 2025</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3,083,916,600</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3"/>
              </w:rPr>
            </w:pPr>
            <w:r>
              <w:rPr>
                <w:rFonts w:ascii="Times New Roman;Times;serif" w:hAnsi="Times New Roman;Times;serif"/>
                <w:b/>
                <w:sz w:val="13"/>
              </w:rPr>
              <w:t>0</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21,178,090</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(274)</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9,620</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2,449</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382</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94</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12,271</w:t>
            </w:r>
          </w:p>
        </w:tc>
      </w:tr>
      <w:tr>
        <w:trPr/>
        <w:tc>
          <w:tcPr>
            <w:tcW w:w="82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Exercise of share options and vesting of restricted stocks in Treasury Shares</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10,227,580</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(10,227,580)</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87</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(84)</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w:t>
            </w:r>
          </w:p>
        </w:tc>
      </w:tr>
      <w:tr>
        <w:trPr/>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Issuance of ordinary shares upon exercise of options and vesting of restricted stocks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1,826,840</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0</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w:t>
            </w:r>
          </w:p>
        </w:tc>
      </w:tr>
      <w:tr>
        <w:trPr/>
        <w:tc>
          <w:tcPr>
            <w:tcW w:w="82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Share-based compensation</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247</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247</w:t>
            </w:r>
          </w:p>
        </w:tc>
      </w:tr>
      <w:tr>
        <w:trPr/>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2,438</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2,458</w:t>
            </w:r>
          </w:p>
        </w:tc>
      </w:tr>
      <w:tr>
        <w:trPr/>
        <w:tc>
          <w:tcPr>
            <w:tcW w:w="82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Dividends paid to noncontrolling interest holders</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w:t>
            </w:r>
          </w:p>
        </w:tc>
      </w:tr>
      <w:tr>
        <w:trPr/>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Capital contribution from noncontrolling interest holders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0</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0</w:t>
            </w:r>
          </w:p>
        </w:tc>
      </w:tr>
      <w:tr>
        <w:trPr/>
        <w:tc>
          <w:tcPr>
            <w:tcW w:w="82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Acquisition of noncontrolling interest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(29)</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29</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0</w:t>
            </w:r>
          </w:p>
        </w:tc>
      </w:tr>
      <w:tr>
        <w:trPr/>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Gains from fair value changes of debt securities,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w:t>
            </w:r>
          </w:p>
        </w:tc>
      </w:tr>
      <w:tr>
        <w:trPr/>
        <w:tc>
          <w:tcPr>
            <w:tcW w:w="82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Foreign currency translation adjustments</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(124)</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(124)</w:t>
            </w:r>
          </w:p>
        </w:tc>
      </w:tr>
      <w:tr>
        <w:trPr/>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Repurchase of ordinary shares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(19,289,850)</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19,289,850</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(443)</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(443)</w:t>
            </w:r>
          </w:p>
        </w:tc>
      </w:tr>
      <w:tr>
        <w:trPr/>
        <w:tc>
          <w:tcPr>
            <w:tcW w:w="82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Cash dividends declared</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(2,136)</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(2,136)</w:t>
            </w:r>
          </w:p>
        </w:tc>
      </w:tr>
      <w:tr>
        <w:trPr/>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Losses arising from defined benefit plan,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(0)</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(0)</w:t>
            </w:r>
          </w:p>
        </w:tc>
      </w:tr>
      <w:tr>
        <w:trPr/>
        <w:tc>
          <w:tcPr>
            <w:tcW w:w="82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Balance at June 30, 2025</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3,076,681,170</w:t>
            </w:r>
          </w:p>
        </w:tc>
        <w:tc>
          <w:tcPr>
            <w:tcW w:w="346" w:type="dxa"/>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3"/>
              </w:rPr>
            </w:pPr>
            <w:r>
              <w:rPr>
                <w:rFonts w:ascii="Times New Roman;Times;serif" w:hAnsi="Times New Roman;Times;serif"/>
                <w:b/>
                <w:sz w:val="13"/>
              </w:rPr>
              <w:t>0</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30,240,360</w:t>
            </w:r>
          </w:p>
        </w:tc>
        <w:tc>
          <w:tcPr>
            <w:tcW w:w="346" w:type="dxa"/>
            <w:tcBorders/>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(630)</w:t>
            </w:r>
          </w:p>
        </w:tc>
        <w:tc>
          <w:tcPr>
            <w:tcW w:w="34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9,770</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2,751</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262</w:t>
            </w:r>
          </w:p>
        </w:tc>
        <w:tc>
          <w:tcPr>
            <w:tcW w:w="346"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140</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12,293</w:t>
            </w:r>
          </w:p>
        </w:tc>
      </w:tr>
      <w:tr>
        <w:trPr/>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82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Balance at January 1, 2026</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3,071,525,690</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sz w:val="13"/>
              </w:rPr>
            </w:pPr>
            <w:r>
              <w:rPr>
                <w:rFonts w:ascii="Times New Roman;Times;serif" w:hAnsi="Times New Roman;Times;serif"/>
                <w:b/>
                <w:sz w:val="13"/>
              </w:rPr>
              <w:t>0</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26,798,120</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(662)</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9,653</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3,614</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199</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154</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12,958</w:t>
            </w:r>
          </w:p>
        </w:tc>
      </w:tr>
      <w:tr>
        <w:trPr/>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Exercise of share options and vesting of restricted stocks in Treasury Shares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9,411,920</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(9,411,920)</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216</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(214)</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w:t>
            </w:r>
          </w:p>
        </w:tc>
      </w:tr>
      <w:tr>
        <w:trPr/>
        <w:tc>
          <w:tcPr>
            <w:tcW w:w="82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Issuance of ordinary shares upon exercise of options and vesting of restricted stocks</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1,223,430</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0</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0</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Conversion of Convertible Senior Notes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133,496,890</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0</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3,428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3,428</w:t>
            </w:r>
          </w:p>
        </w:tc>
      </w:tr>
      <w:tr>
        <w:trPr/>
        <w:tc>
          <w:tcPr>
            <w:tcW w:w="82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Share-based compensation</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265</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265</w:t>
            </w:r>
          </w:p>
        </w:tc>
      </w:tr>
      <w:tr>
        <w:trPr/>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2,394</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2,400</w:t>
            </w:r>
          </w:p>
        </w:tc>
      </w:tr>
      <w:tr>
        <w:trPr/>
        <w:tc>
          <w:tcPr>
            <w:tcW w:w="82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Dividends paid to noncontrolling interest holders</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w:t>
            </w:r>
          </w:p>
        </w:tc>
      </w:tr>
      <w:tr>
        <w:trPr/>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Capital contribution from noncontrolling interest holders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82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Acquisition of noncontrolling interest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Gains from fair value changes of debt securities,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82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Foreign currency translation adjustments</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(81)</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(81)</w:t>
            </w:r>
          </w:p>
        </w:tc>
      </w:tr>
      <w:tr>
        <w:trPr/>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Repurchase of ordinary shares</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(61,598,060)</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61,598,060</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(1,857)</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(1,857)</w:t>
            </w:r>
          </w:p>
        </w:tc>
      </w:tr>
      <w:tr>
        <w:trPr/>
        <w:tc>
          <w:tcPr>
            <w:tcW w:w="82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Redemption of noncontrolling interest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w:t>
            </w:r>
          </w:p>
        </w:tc>
      </w:tr>
      <w:tr>
        <w:trPr/>
        <w:tc>
          <w:tcPr>
            <w:tcW w:w="82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Cash dividends declared</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(2,875)</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(2,875)</w:t>
            </w:r>
          </w:p>
        </w:tc>
      </w:tr>
      <w:tr>
        <w:trPr/>
        <w:tc>
          <w:tcPr>
            <w:tcW w:w="826"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Balance at June 30, 2026</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3,154,059,870</w:t>
            </w:r>
          </w:p>
        </w:tc>
        <w:tc>
          <w:tcPr>
            <w:tcW w:w="346" w:type="dxa"/>
            <w:tcBorders/>
            <w:vAlign w:val="center"/>
          </w:tcPr>
          <w:p>
            <w:pPr>
              <w:pStyle w:val="TableContents"/>
              <w:bidi w:val="0"/>
              <w:spacing w:before="0" w:after="0"/>
              <w:ind w:left="0" w:right="0" w:hanging="0"/>
              <w:jc w:val="left"/>
              <w:rPr/>
            </w:pPr>
            <w:r>
              <w:rPr/>
              <w:t>​</w:t>
            </w:r>
          </w:p>
        </w:tc>
        <w:tc>
          <w:tcPr>
            <w:tcW w:w="5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3"/>
              </w:rPr>
            </w:pPr>
            <w:r>
              <w:rPr>
                <w:rFonts w:ascii="Times New Roman;Times;serif" w:hAnsi="Times New Roman;Times;serif"/>
                <w:b/>
                <w:sz w:val="13"/>
              </w:rPr>
              <w:t>0</w:t>
            </w:r>
          </w:p>
        </w:tc>
        <w:tc>
          <w:tcPr>
            <w:tcW w:w="346" w:type="dxa"/>
            <w:tcBorders/>
            <w:vAlign w:val="center"/>
          </w:tcPr>
          <w:p>
            <w:pPr>
              <w:pStyle w:val="TableContents"/>
              <w:bidi w:val="0"/>
              <w:spacing w:before="0" w:after="0"/>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78,984,260</w:t>
            </w:r>
          </w:p>
        </w:tc>
        <w:tc>
          <w:tcPr>
            <w:tcW w:w="346" w:type="dxa"/>
            <w:tcBorders/>
            <w:vAlign w:val="center"/>
          </w:tcPr>
          <w:p>
            <w:pPr>
              <w:pStyle w:val="TableContents"/>
              <w:bidi w:val="0"/>
              <w:spacing w:before="0" w:after="0"/>
              <w:ind w:left="0" w:right="0" w:hanging="0"/>
              <w:jc w:val="left"/>
              <w:rPr/>
            </w:pPr>
            <w:r>
              <w:rPr/>
              <w:t>​</w:t>
            </w:r>
          </w:p>
        </w:tc>
        <w:tc>
          <w:tcPr>
            <w:tcW w:w="5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(2,303)</w:t>
            </w:r>
          </w:p>
        </w:tc>
        <w:tc>
          <w:tcPr>
            <w:tcW w:w="346" w:type="dxa"/>
            <w:tcBorders/>
            <w:vAlign w:val="center"/>
          </w:tcPr>
          <w:p>
            <w:pPr>
              <w:pStyle w:val="TableContents"/>
              <w:bidi w:val="0"/>
              <w:spacing w:before="0" w:after="0"/>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13,132</w:t>
            </w:r>
          </w:p>
        </w:tc>
        <w:tc>
          <w:tcPr>
            <w:tcW w:w="346" w:type="dxa"/>
            <w:tcBorders/>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3,133</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118</w:t>
            </w:r>
          </w:p>
        </w:tc>
        <w:tc>
          <w:tcPr>
            <w:tcW w:w="346" w:type="dxa"/>
            <w:tcBorders/>
            <w:vAlign w:val="center"/>
          </w:tcPr>
          <w:p>
            <w:pPr>
              <w:pStyle w:val="TableContents"/>
              <w:bidi w:val="0"/>
              <w:spacing w:before="0" w:after="0"/>
              <w:ind w:left="0" w:right="0" w:hanging="0"/>
              <w:jc w:val="left"/>
              <w:rPr/>
            </w:pPr>
            <w:r>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155</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b/>
                <w:sz w:val="12"/>
              </w:rPr>
            </w:pPr>
            <w:r>
              <w:rPr>
                <w:rFonts w:ascii="Times New Roman;Times;serif" w:hAnsi="Times New Roman;Times;serif"/>
                <w:b/>
                <w:sz w:val="12"/>
              </w:rPr>
              <w:t>14,235</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652" w:name="_b67e434a_86b8_41c9_aceb_1466483f60ca"/>
      <w:bookmarkEnd w:id="652"/>
      <w:r>
        <w:rPr>
          <w:rFonts w:ascii="Times New Roman;Times;serif" w:hAnsi="Times New Roman;Times;serif"/>
          <w:b/>
          <w:sz w:val="20"/>
        </w:rPr>
        <w:t>H WORLD GROUP LIMITED</w:t>
      </w:r>
    </w:p>
    <w:p>
      <w:pPr>
        <w:pStyle w:val="TextBody"/>
        <w:bidi w:val="0"/>
        <w:spacing w:before="0" w:after="0"/>
        <w:ind w:left="0" w:right="0" w:hanging="0"/>
        <w:jc w:val="center"/>
        <w:rPr>
          <w:rFonts w:ascii="Times New Roman;Times;serif" w:hAnsi="Times New Roman;Times;serif"/>
          <w:b/>
          <w:sz w:val="20"/>
        </w:rPr>
      </w:pPr>
      <w:bookmarkStart w:id="653" w:name="CONSOLIDATEDSTATEMENTSOFCASHFLOWS_157986"/>
      <w:bookmarkEnd w:id="653"/>
      <w:r>
        <w:rPr>
          <w:rFonts w:ascii="Times New Roman;Times;serif" w:hAnsi="Times New Roman;Times;serif"/>
          <w:b/>
          <w:sz w:val="20"/>
        </w:rPr>
        <w:t>UNAUDITED INTERIM 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(Renminbi in millions, unless otherwise stated)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54" w:name="Tc_6Jlwxf5mCkqmxeZSSpzLGg_47_0"/>
      <w:bookmarkStart w:id="655" w:name="Tc_8f750mQJXEilvgR-9BoSzw_46_0"/>
      <w:bookmarkStart w:id="656" w:name="Tc_zmCvwYbLkkG3oSR62qPbVg_45_0"/>
      <w:bookmarkStart w:id="657" w:name="Tc_RHhU1Zg1fEmcFSmRyDnw5A_44_0"/>
      <w:bookmarkStart w:id="658" w:name="Tc_dO56GbFQeECogOmRTqiLiQ_43_0"/>
      <w:bookmarkStart w:id="659" w:name="Tc_j5EFz0yARkKVX5uglvf77w_42_0"/>
      <w:bookmarkStart w:id="660" w:name="Tc_GYcZ6hIIu0OOXhsebshDEg_41_0"/>
      <w:bookmarkStart w:id="661" w:name="Tc_4fgg9MsTF0KUyj_0H6sfgg_40_0"/>
      <w:bookmarkStart w:id="662" w:name="Tc_hS_-5ubG6k2uODiHppSGWw_38_0"/>
      <w:bookmarkStart w:id="663" w:name="Tc__ao_tUSYxESsWM4DBoHsmA_37_0"/>
      <w:bookmarkStart w:id="664" w:name="Tc_-V9t0kxzwk2r2Unr9zcdmg_36_0"/>
      <w:bookmarkStart w:id="665" w:name="Tc_TzhSJTZMaECTGdjhuJdgYg_35_0"/>
      <w:bookmarkStart w:id="666" w:name="Tc_fwlQfQXWiE6dEbqfPGEOLg_34_0"/>
      <w:bookmarkStart w:id="667" w:name="Tc_58m2v5GmvEOGrYNTcWawpQ_32_0"/>
      <w:bookmarkStart w:id="668" w:name="Tc_Mo5s3pGepEm0Xbm5rppcLA_31_0"/>
      <w:bookmarkStart w:id="669" w:name="Tc_3B2s6K7j1keHL5VOWEPOqw_30_0"/>
      <w:bookmarkStart w:id="670" w:name="Tc_8c4lXnyop0qpZuPEzw_EZg_29_0"/>
      <w:bookmarkStart w:id="671" w:name="Tc_6IHsehCidkaKsU0yLgQv_Q_28_0"/>
      <w:bookmarkStart w:id="672" w:name="Tc_zojmH1VhaEmPLmJW1LSfuQ_27_0"/>
      <w:bookmarkStart w:id="673" w:name="Tc_EHQZwRbNikWeWfhZ33x6MA_26_0"/>
      <w:bookmarkStart w:id="674" w:name="Tc_WENqdcw7EE-qI48YgHIVJQ_24_0"/>
      <w:bookmarkStart w:id="675" w:name="Tc_bJTdBqt-iEa8l0ijSTMB5Q_23_0"/>
      <w:bookmarkStart w:id="676" w:name="Tc_yRb6IMcgq0KWyXJ3qSLQLQ_22_0"/>
      <w:bookmarkStart w:id="677" w:name="Tc_IXIvlIbW2U6WtB4sIDJ1vA_21_0"/>
      <w:bookmarkStart w:id="678" w:name="Tc_qKeyL9fjuEGkyJMg3TRmAg_20_0"/>
      <w:bookmarkStart w:id="679" w:name="Tc_4dcMlHOoXU-sD7ekXojG6w_19_0"/>
      <w:bookmarkStart w:id="680" w:name="Tc_f6QrKPQk_EazYoXGtm8SXA_18_0"/>
      <w:bookmarkStart w:id="681" w:name="Tc_kLmWZ8iE202VWhzrZumJFg_17_0"/>
      <w:bookmarkStart w:id="682" w:name="Tc_sX0bHpn93ke0HKuWifxjvw_15_0"/>
      <w:bookmarkStart w:id="683" w:name="Tc_bhrCkWG9wkWO7FXgQbrGfA_14_0"/>
      <w:bookmarkStart w:id="684" w:name="Tc_pdfXgXgk3UGgHDGU7egMaw_13_0"/>
      <w:bookmarkStart w:id="685" w:name="Tc_0OcPpFit-0maSUxJUO83Og_12_0"/>
      <w:bookmarkStart w:id="686" w:name="Tc_7BD1XKGog0mqoxRLaJhvmQ_11_0"/>
      <w:bookmarkStart w:id="687" w:name="Tc_b8w6VlVkSECXKoZLeR2W_w_10_0"/>
      <w:bookmarkStart w:id="688" w:name="Tc_sGrrm9kqHEG-RFglT_8QaA_9_0"/>
      <w:bookmarkStart w:id="689" w:name="Tc_DoJNumz7hEexfQHXR2b1dQ_8_0"/>
      <w:bookmarkStart w:id="690" w:name="Tc_adS3knZjIEKkxeFRWModqQ_7_0"/>
      <w:bookmarkStart w:id="691" w:name="Tc_AdDtDe0kWkScEpuwKB3Tjg_6_0"/>
      <w:bookmarkStart w:id="692" w:name="Tc_rnZqgoYiG0S2tUQt6Fc0iw_5_0"/>
      <w:bookmarkStart w:id="693" w:name="Tc_DvyKDaKCj0yYMvJr8FDclw_4_6"/>
      <w:bookmarkStart w:id="694" w:name="Tc_L6ZdIPoVsE247eS77V8Zrg_3_6"/>
      <w:bookmarkStart w:id="695" w:name="Tc_5s4m1QPAtkeIIXSg-vU3gg_2_6"/>
      <w:bookmarkStart w:id="696" w:name="Tc_TNRzYOwBQEudvPj944ue8Q_2_4"/>
      <w:bookmarkStart w:id="697" w:name="Tc_-Ty7J1iyh02F-l15GBcv_Q_2_2"/>
      <w:bookmarkStart w:id="698" w:name="Tc_2pTH5H6xRkqU_THYm-tpMg_1_2"/>
      <w:bookmarkStart w:id="699" w:name="_23656e3c_5ab0_45be_8d12_e16e4b5f0328"/>
      <w:bookmarkStart w:id="700" w:name="Tc_6Jlwxf5mCkqmxeZSSpzLGg_47_0"/>
      <w:bookmarkStart w:id="701" w:name="Tc_8f750mQJXEilvgR-9BoSzw_46_0"/>
      <w:bookmarkStart w:id="702" w:name="Tc_zmCvwYbLkkG3oSR62qPbVg_45_0"/>
      <w:bookmarkStart w:id="703" w:name="Tc_RHhU1Zg1fEmcFSmRyDnw5A_44_0"/>
      <w:bookmarkStart w:id="704" w:name="Tc_dO56GbFQeECogOmRTqiLiQ_43_0"/>
      <w:bookmarkStart w:id="705" w:name="Tc_j5EFz0yARkKVX5uglvf77w_42_0"/>
      <w:bookmarkStart w:id="706" w:name="Tc_GYcZ6hIIu0OOXhsebshDEg_41_0"/>
      <w:bookmarkStart w:id="707" w:name="Tc_4fgg9MsTF0KUyj_0H6sfgg_40_0"/>
      <w:bookmarkStart w:id="708" w:name="Tc_hS_-5ubG6k2uODiHppSGWw_38_0"/>
      <w:bookmarkStart w:id="709" w:name="Tc__ao_tUSYxESsWM4DBoHsmA_37_0"/>
      <w:bookmarkStart w:id="710" w:name="Tc_-V9t0kxzwk2r2Unr9zcdmg_36_0"/>
      <w:bookmarkStart w:id="711" w:name="Tc_TzhSJTZMaECTGdjhuJdgYg_35_0"/>
      <w:bookmarkStart w:id="712" w:name="Tc_fwlQfQXWiE6dEbqfPGEOLg_34_0"/>
      <w:bookmarkStart w:id="713" w:name="Tc_58m2v5GmvEOGrYNTcWawpQ_32_0"/>
      <w:bookmarkStart w:id="714" w:name="Tc_Mo5s3pGepEm0Xbm5rppcLA_31_0"/>
      <w:bookmarkStart w:id="715" w:name="Tc_3B2s6K7j1keHL5VOWEPOqw_30_0"/>
      <w:bookmarkStart w:id="716" w:name="Tc_8c4lXnyop0qpZuPEzw_EZg_29_0"/>
      <w:bookmarkStart w:id="717" w:name="Tc_6IHsehCidkaKsU0yLgQv_Q_28_0"/>
      <w:bookmarkStart w:id="718" w:name="Tc_zojmH1VhaEmPLmJW1LSfuQ_27_0"/>
      <w:bookmarkStart w:id="719" w:name="Tc_EHQZwRbNikWeWfhZ33x6MA_26_0"/>
      <w:bookmarkStart w:id="720" w:name="Tc_WENqdcw7EE-qI48YgHIVJQ_24_0"/>
      <w:bookmarkStart w:id="721" w:name="Tc_bJTdBqt-iEa8l0ijSTMB5Q_23_0"/>
      <w:bookmarkStart w:id="722" w:name="Tc_yRb6IMcgq0KWyXJ3qSLQLQ_22_0"/>
      <w:bookmarkStart w:id="723" w:name="Tc_IXIvlIbW2U6WtB4sIDJ1vA_21_0"/>
      <w:bookmarkStart w:id="724" w:name="Tc_qKeyL9fjuEGkyJMg3TRmAg_20_0"/>
      <w:bookmarkStart w:id="725" w:name="Tc_4dcMlHOoXU-sD7ekXojG6w_19_0"/>
      <w:bookmarkStart w:id="726" w:name="Tc_f6QrKPQk_EazYoXGtm8SXA_18_0"/>
      <w:bookmarkStart w:id="727" w:name="Tc_kLmWZ8iE202VWhzrZumJFg_17_0"/>
      <w:bookmarkStart w:id="728" w:name="Tc_sX0bHpn93ke0HKuWifxjvw_15_0"/>
      <w:bookmarkStart w:id="729" w:name="Tc_bhrCkWG9wkWO7FXgQbrGfA_14_0"/>
      <w:bookmarkStart w:id="730" w:name="Tc_pdfXgXgk3UGgHDGU7egMaw_13_0"/>
      <w:bookmarkStart w:id="731" w:name="Tc_0OcPpFit-0maSUxJUO83Og_12_0"/>
      <w:bookmarkStart w:id="732" w:name="Tc_7BD1XKGog0mqoxRLaJhvmQ_11_0"/>
      <w:bookmarkStart w:id="733" w:name="Tc_b8w6VlVkSECXKoZLeR2W_w_10_0"/>
      <w:bookmarkStart w:id="734" w:name="Tc_sGrrm9kqHEG-RFglT_8QaA_9_0"/>
      <w:bookmarkStart w:id="735" w:name="Tc_DoJNumz7hEexfQHXR2b1dQ_8_0"/>
      <w:bookmarkStart w:id="736" w:name="Tc_adS3knZjIEKkxeFRWModqQ_7_0"/>
      <w:bookmarkStart w:id="737" w:name="Tc_AdDtDe0kWkScEpuwKB3Tjg_6_0"/>
      <w:bookmarkStart w:id="738" w:name="Tc_rnZqgoYiG0S2tUQt6Fc0iw_5_0"/>
      <w:bookmarkStart w:id="739" w:name="Tc_DvyKDaKCj0yYMvJr8FDclw_4_6"/>
      <w:bookmarkStart w:id="740" w:name="Tc_L6ZdIPoVsE247eS77V8Zrg_3_6"/>
      <w:bookmarkStart w:id="741" w:name="Tc_5s4m1QPAtkeIIXSg-vU3gg_2_6"/>
      <w:bookmarkStart w:id="742" w:name="Tc_TNRzYOwBQEudvPj944ue8Q_2_4"/>
      <w:bookmarkStart w:id="743" w:name="Tc_-Ty7J1iyh02F-l15GBcv_Q_2_2"/>
      <w:bookmarkStart w:id="744" w:name="Tc_2pTH5H6xRkqU_THYm-tpMg_1_2"/>
      <w:bookmarkStart w:id="745" w:name="_23656e3c_5ab0_45be_8d12_e16e4b5f0328"/>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p>
    <w:tbl>
      <w:tblPr>
        <w:tblW w:w="10205" w:type="dxa"/>
        <w:jc w:val="left"/>
        <w:tblInd w:w="0" w:type="dxa"/>
        <w:tblLayout w:type="fixed"/>
        <w:tblCellMar>
          <w:top w:w="0" w:type="dxa"/>
          <w:left w:w="0" w:type="dxa"/>
          <w:bottom w:w="0" w:type="dxa"/>
          <w:right w:w="0" w:type="dxa"/>
        </w:tblCellMar>
      </w:tblPr>
      <w:tblGrid>
        <w:gridCol w:w="6724"/>
        <w:gridCol w:w="346"/>
        <w:gridCol w:w="625"/>
        <w:gridCol w:w="346"/>
        <w:gridCol w:w="625"/>
        <w:gridCol w:w="346"/>
        <w:gridCol w:w="1193"/>
      </w:tblGrid>
      <w:tr>
        <w:trPr/>
        <w:tc>
          <w:tcPr>
            <w:tcW w:w="6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269740" cy="175260"/>
                      <wp:effectExtent l="0" t="0" r="0" b="0"/>
                      <wp:wrapNone/>
                      <wp:docPr id="39" name="Frame39"/>
                      <a:graphic xmlns:a="http://schemas.openxmlformats.org/drawingml/2006/main">
                        <a:graphicData uri="http://schemas.microsoft.com/office/word/2010/wordprocessingShape">
                          <wps:wsp>
                            <wps:cNvSpPr txBox="1"/>
                            <wps:spPr>
                              <a:xfrm>
                                <a:off x="0" y="0"/>
                                <a:ext cx="426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96875" cy="175260"/>
                      <wp:effectExtent l="0" t="0" r="0" b="0"/>
                      <wp:wrapNone/>
                      <wp:docPr id="41" name="Frame41"/>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96875" cy="175260"/>
                      <wp:effectExtent l="0" t="0" r="0" b="0"/>
                      <wp:wrapNone/>
                      <wp:docPr id="43" name="Frame43"/>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757555" cy="175260"/>
                      <wp:effectExtent l="0" t="0" r="0" b="0"/>
                      <wp:wrapNone/>
                      <wp:docPr id="45" name="Frame45"/>
                      <a:graphic xmlns:a="http://schemas.openxmlformats.org/drawingml/2006/main">
                        <a:graphicData uri="http://schemas.microsoft.com/office/word/2010/wordprocessingShape">
                          <wps:wsp>
                            <wps:cNvSpPr txBox="1"/>
                            <wps:spPr>
                              <a:xfrm>
                                <a:off x="0" y="0"/>
                                <a:ext cx="757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1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67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67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2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2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9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 in millions</w:t>
            </w:r>
          </w:p>
        </w:tc>
      </w:tr>
      <w:tr>
        <w:trPr/>
        <w:tc>
          <w:tcPr>
            <w:tcW w:w="67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9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 2)</w:t>
            </w:r>
          </w:p>
        </w:tc>
      </w:tr>
      <w:tr>
        <w:trPr/>
        <w:tc>
          <w:tcPr>
            <w:tcW w:w="67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pPr>
            <w:r>
              <w:rPr/>
              <w:t>  ​</w:t>
            </w:r>
          </w:p>
        </w:tc>
      </w:tr>
      <w:tr>
        <w:trPr/>
        <w:tc>
          <w:tcPr>
            <w:tcW w:w="67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2,458</w:t>
            </w:r>
          </w:p>
        </w:tc>
        <w:tc>
          <w:tcPr>
            <w:tcW w:w="3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2,400</w:t>
            </w:r>
          </w:p>
        </w:tc>
        <w:tc>
          <w:tcPr>
            <w:tcW w:w="346"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354</w:t>
            </w:r>
          </w:p>
        </w:tc>
      </w:tr>
      <w:tr>
        <w:trPr/>
        <w:tc>
          <w:tcPr>
            <w:tcW w:w="67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pPr>
            <w:r>
              <w:rPr/>
              <w:t>​</w:t>
            </w:r>
          </w:p>
        </w:tc>
      </w:tr>
      <w:tr>
        <w:trPr/>
        <w:tc>
          <w:tcPr>
            <w:tcW w:w="67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w:t>
            </w:r>
          </w:p>
        </w:tc>
        <w:tc>
          <w:tcPr>
            <w:tcW w:w="3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w:t>
            </w:r>
          </w:p>
        </w:tc>
        <w:tc>
          <w:tcPr>
            <w:tcW w:w="346"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w:t>
            </w:r>
          </w:p>
        </w:tc>
      </w:tr>
      <w:tr>
        <w:trPr/>
        <w:tc>
          <w:tcPr>
            <w:tcW w:w="67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 and other</w:t>
            </w:r>
          </w:p>
        </w:tc>
        <w:tc>
          <w:tcPr>
            <w:tcW w:w="346"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636</w:t>
            </w:r>
          </w:p>
        </w:tc>
        <w:tc>
          <w:tcPr>
            <w:tcW w:w="346"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610</w:t>
            </w:r>
          </w:p>
        </w:tc>
        <w:tc>
          <w:tcPr>
            <w:tcW w:w="346"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w:t>
            </w:r>
          </w:p>
        </w:tc>
      </w:tr>
      <w:tr>
        <w:trPr/>
        <w:tc>
          <w:tcPr>
            <w:tcW w:w="67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Impairment loss</w:t>
            </w:r>
          </w:p>
        </w:tc>
        <w:tc>
          <w:tcPr>
            <w:tcW w:w="3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w:t>
            </w:r>
          </w:p>
        </w:tc>
        <w:tc>
          <w:tcPr>
            <w:tcW w:w="34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w:t>
            </w:r>
          </w:p>
        </w:tc>
        <w:tc>
          <w:tcPr>
            <w:tcW w:w="346"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67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from equity method investments, net of dividends</w:t>
            </w:r>
          </w:p>
        </w:tc>
        <w:tc>
          <w:tcPr>
            <w:tcW w:w="346"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46"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67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 (income) loss and foreign currency exchange (gain) loss</w:t>
            </w:r>
          </w:p>
        </w:tc>
        <w:tc>
          <w:tcPr>
            <w:tcW w:w="3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(663)</w:t>
            </w:r>
          </w:p>
        </w:tc>
        <w:tc>
          <w:tcPr>
            <w:tcW w:w="34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w:t>
            </w:r>
          </w:p>
        </w:tc>
        <w:tc>
          <w:tcPr>
            <w:tcW w:w="346" w:type="dxa"/>
            <w:tcBorders/>
            <w:vAlign w:val="center"/>
          </w:tcPr>
          <w:p>
            <w:pPr>
              <w:pStyle w:val="TableContents"/>
              <w:bidi w:val="0"/>
              <w:spacing w:before="0" w:after="0"/>
              <w:ind w:left="0" w:right="0" w:hanging="0"/>
              <w:jc w:val="left"/>
              <w:rPr/>
            </w:pPr>
            <w:r>
              <w:rPr/>
              <w:t> </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r>
      <w:tr>
        <w:trPr/>
        <w:tc>
          <w:tcPr>
            <w:tcW w:w="67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636</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w:t>
            </w:r>
          </w:p>
        </w:tc>
        <w:tc>
          <w:tcPr>
            <w:tcW w:w="346"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r>
      <w:tr>
        <w:trPr/>
        <w:tc>
          <w:tcPr>
            <w:tcW w:w="67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Others</w:t>
            </w:r>
          </w:p>
        </w:tc>
        <w:tc>
          <w:tcPr>
            <w:tcW w:w="346" w:type="dxa"/>
            <w:tcBorders/>
            <w:vAlign w:val="center"/>
          </w:tcPr>
          <w:p>
            <w:pPr>
              <w:pStyle w:val="TableContents"/>
              <w:bidi w:val="0"/>
              <w:spacing w:before="0" w:after="0"/>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w:t>
            </w:r>
          </w:p>
        </w:tc>
        <w:tc>
          <w:tcPr>
            <w:tcW w:w="346" w:type="dxa"/>
            <w:tcBorders/>
            <w:vAlign w:val="center"/>
          </w:tcPr>
          <w:p>
            <w:pPr>
              <w:pStyle w:val="TableContents"/>
              <w:bidi w:val="0"/>
              <w:spacing w:before="0" w:after="0"/>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w:t>
            </w:r>
          </w:p>
        </w:tc>
        <w:tc>
          <w:tcPr>
            <w:tcW w:w="346" w:type="dxa"/>
            <w:tcBorders/>
            <w:vAlign w:val="center"/>
          </w:tcPr>
          <w:p>
            <w:pPr>
              <w:pStyle w:val="TableContents"/>
              <w:bidi w:val="0"/>
              <w:spacing w:before="0" w:after="0"/>
              <w:ind w:left="0" w:right="0" w:hanging="0"/>
              <w:jc w:val="left"/>
              <w:rPr/>
            </w:pPr>
            <w:r>
              <w:rPr/>
              <w:t>​</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r>
      <w:tr>
        <w:trPr/>
        <w:tc>
          <w:tcPr>
            <w:tcW w:w="67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3,239</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3,641</w:t>
            </w:r>
          </w:p>
        </w:tc>
        <w:tc>
          <w:tcPr>
            <w:tcW w:w="346" w:type="dxa"/>
            <w:tcBorders/>
            <w:shd w:fill="CCEEFF" w:val="clear"/>
            <w:vAlign w:val="center"/>
          </w:tcPr>
          <w:p>
            <w:pPr>
              <w:pStyle w:val="TableContents"/>
              <w:bidi w:val="0"/>
              <w:spacing w:before="0" w:after="0"/>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w:t>
            </w:r>
          </w:p>
        </w:tc>
      </w:tr>
      <w:tr>
        <w:trPr/>
        <w:tc>
          <w:tcPr>
            <w:tcW w:w="67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pPr>
            <w:r>
              <w:rPr/>
              <w:t>​</w:t>
            </w:r>
          </w:p>
        </w:tc>
      </w:tr>
      <w:tr>
        <w:trPr/>
        <w:tc>
          <w:tcPr>
            <w:tcW w:w="67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93" w:type="dxa"/>
            <w:tcBorders/>
            <w:shd w:fill="CCEEFF" w:val="clear"/>
            <w:vAlign w:val="center"/>
          </w:tcPr>
          <w:p>
            <w:pPr>
              <w:pStyle w:val="TableContents"/>
              <w:bidi w:val="0"/>
              <w:spacing w:before="0" w:after="0"/>
              <w:ind w:left="0" w:right="0" w:hanging="0"/>
              <w:jc w:val="right"/>
              <w:rPr/>
            </w:pPr>
            <w:r>
              <w:rPr/>
              <w:t>​</w:t>
            </w:r>
          </w:p>
        </w:tc>
      </w:tr>
      <w:tr>
        <w:trPr/>
        <w:tc>
          <w:tcPr>
            <w:tcW w:w="67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expenditures</w:t>
            </w:r>
          </w:p>
        </w:tc>
        <w:tc>
          <w:tcPr>
            <w:tcW w:w="3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w:t>
            </w:r>
          </w:p>
        </w:tc>
        <w:tc>
          <w:tcPr>
            <w:tcW w:w="34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(349)</w:t>
            </w:r>
          </w:p>
        </w:tc>
        <w:tc>
          <w:tcPr>
            <w:tcW w:w="346"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w:t>
            </w:r>
          </w:p>
        </w:tc>
      </w:tr>
      <w:tr>
        <w:trPr/>
        <w:tc>
          <w:tcPr>
            <w:tcW w:w="67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investments</w:t>
            </w:r>
          </w:p>
        </w:tc>
        <w:tc>
          <w:tcPr>
            <w:tcW w:w="346"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(2,778)</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(2,891)</w:t>
            </w:r>
          </w:p>
        </w:tc>
        <w:tc>
          <w:tcPr>
            <w:tcW w:w="346"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(426)</w:t>
            </w:r>
          </w:p>
        </w:tc>
      </w:tr>
      <w:tr>
        <w:trPr/>
        <w:tc>
          <w:tcPr>
            <w:tcW w:w="67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maturity/sale and return of investments</w:t>
            </w:r>
          </w:p>
        </w:tc>
        <w:tc>
          <w:tcPr>
            <w:tcW w:w="3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4,130</w:t>
            </w:r>
          </w:p>
        </w:tc>
        <w:tc>
          <w:tcPr>
            <w:tcW w:w="34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6,463</w:t>
            </w:r>
          </w:p>
        </w:tc>
        <w:tc>
          <w:tcPr>
            <w:tcW w:w="346"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953</w:t>
            </w:r>
          </w:p>
        </w:tc>
      </w:tr>
      <w:tr>
        <w:trPr/>
        <w:tc>
          <w:tcPr>
            <w:tcW w:w="67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 advances</w:t>
            </w:r>
          </w:p>
        </w:tc>
        <w:tc>
          <w:tcPr>
            <w:tcW w:w="346"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w:t>
            </w:r>
          </w:p>
        </w:tc>
        <w:tc>
          <w:tcPr>
            <w:tcW w:w="346"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r>
      <w:tr>
        <w:trPr/>
        <w:tc>
          <w:tcPr>
            <w:tcW w:w="67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Loan collections</w:t>
            </w:r>
          </w:p>
        </w:tc>
        <w:tc>
          <w:tcPr>
            <w:tcW w:w="3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34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w:t>
            </w:r>
          </w:p>
        </w:tc>
        <w:tc>
          <w:tcPr>
            <w:tcW w:w="346"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67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Others</w:t>
            </w:r>
          </w:p>
        </w:tc>
        <w:tc>
          <w:tcPr>
            <w:tcW w:w="346" w:type="dxa"/>
            <w:tcBorders/>
            <w:shd w:fill="CCEEFF" w:val="clear"/>
            <w:vAlign w:val="center"/>
          </w:tcPr>
          <w:p>
            <w:pPr>
              <w:pStyle w:val="TableContents"/>
              <w:bidi w:val="0"/>
              <w:spacing w:before="0" w:after="0"/>
              <w:ind w:left="0" w:right="0" w:hanging="0"/>
              <w:jc w:val="left"/>
              <w:rPr/>
            </w:pPr>
            <w:r>
              <w:rPr/>
              <w:t> </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11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67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investing activities</w:t>
            </w:r>
          </w:p>
        </w:tc>
        <w:tc>
          <w:tcPr>
            <w:tcW w:w="346" w:type="dxa"/>
            <w:tcBorders/>
            <w:vAlign w:val="center"/>
          </w:tcPr>
          <w:p>
            <w:pPr>
              <w:pStyle w:val="TableContents"/>
              <w:bidi w:val="0"/>
              <w:spacing w:before="0" w:after="0"/>
              <w:ind w:left="0" w:right="0" w:hanging="0"/>
              <w:jc w:val="left"/>
              <w:rPr/>
            </w:pPr>
            <w:r>
              <w:rP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996</w:t>
            </w:r>
          </w:p>
        </w:tc>
        <w:tc>
          <w:tcPr>
            <w:tcW w:w="346" w:type="dxa"/>
            <w:tcBorders/>
            <w:vAlign w:val="center"/>
          </w:tcPr>
          <w:p>
            <w:pPr>
              <w:pStyle w:val="TableContents"/>
              <w:bidi w:val="0"/>
              <w:spacing w:before="0" w:after="0"/>
              <w:ind w:left="0" w:right="0" w:hanging="0"/>
              <w:jc w:val="left"/>
              <w:rPr/>
            </w:pPr>
            <w:r>
              <w:rP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3,263</w:t>
            </w:r>
          </w:p>
        </w:tc>
        <w:tc>
          <w:tcPr>
            <w:tcW w:w="346" w:type="dxa"/>
            <w:tcBorders/>
            <w:vAlign w:val="center"/>
          </w:tcPr>
          <w:p>
            <w:pPr>
              <w:pStyle w:val="TableContents"/>
              <w:bidi w:val="0"/>
              <w:spacing w:before="0" w:after="0"/>
              <w:ind w:left="0" w:right="0" w:hanging="0"/>
              <w:jc w:val="left"/>
              <w:rPr/>
            </w:pPr>
            <w:r>
              <w:rPr/>
              <w:t> </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482</w:t>
            </w:r>
          </w:p>
        </w:tc>
      </w:tr>
      <w:tr>
        <w:trPr/>
        <w:tc>
          <w:tcPr>
            <w:tcW w:w="67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pPr>
            <w:r>
              <w:rPr/>
              <w:t>​</w:t>
            </w:r>
          </w:p>
        </w:tc>
      </w:tr>
      <w:tr>
        <w:trPr/>
        <w:tc>
          <w:tcPr>
            <w:tcW w:w="67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Financing activities:</w:t>
            </w:r>
          </w:p>
        </w:tc>
        <w:tc>
          <w:tcPr>
            <w:tcW w:w="34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pPr>
            <w:r>
              <w:rPr/>
              <w:t>​</w:t>
            </w:r>
          </w:p>
        </w:tc>
      </w:tr>
      <w:tr>
        <w:trPr/>
        <w:tc>
          <w:tcPr>
            <w:tcW w:w="67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of share repurchase</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(443)</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(1,857)</w:t>
            </w:r>
          </w:p>
        </w:tc>
        <w:tc>
          <w:tcPr>
            <w:tcW w:w="346"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(274)</w:t>
            </w:r>
          </w:p>
        </w:tc>
      </w:tr>
      <w:tr>
        <w:trPr/>
        <w:tc>
          <w:tcPr>
            <w:tcW w:w="67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debt</w:t>
            </w:r>
          </w:p>
        </w:tc>
        <w:tc>
          <w:tcPr>
            <w:tcW w:w="34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2,195</w:t>
            </w:r>
          </w:p>
        </w:tc>
        <w:tc>
          <w:tcPr>
            <w:tcW w:w="34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3,746</w:t>
            </w:r>
          </w:p>
        </w:tc>
        <w:tc>
          <w:tcPr>
            <w:tcW w:w="346"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552</w:t>
            </w:r>
          </w:p>
        </w:tc>
      </w:tr>
      <w:tr>
        <w:trPr/>
        <w:tc>
          <w:tcPr>
            <w:tcW w:w="67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 of debt</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(923)</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(1,813)</w:t>
            </w:r>
          </w:p>
        </w:tc>
        <w:tc>
          <w:tcPr>
            <w:tcW w:w="346"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w:t>
            </w:r>
          </w:p>
        </w:tc>
      </w:tr>
      <w:tr>
        <w:trPr/>
        <w:tc>
          <w:tcPr>
            <w:tcW w:w="67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 paid</w:t>
            </w:r>
          </w:p>
        </w:tc>
        <w:tc>
          <w:tcPr>
            <w:tcW w:w="34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(2,136)</w:t>
            </w:r>
          </w:p>
        </w:tc>
        <w:tc>
          <w:tcPr>
            <w:tcW w:w="34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(2,844)</w:t>
            </w:r>
          </w:p>
        </w:tc>
        <w:tc>
          <w:tcPr>
            <w:tcW w:w="346"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w:t>
            </w:r>
          </w:p>
        </w:tc>
      </w:tr>
      <w:tr>
        <w:trPr/>
        <w:tc>
          <w:tcPr>
            <w:tcW w:w="67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Others</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w:t>
            </w:r>
          </w:p>
        </w:tc>
        <w:tc>
          <w:tcPr>
            <w:tcW w:w="346" w:type="dxa"/>
            <w:tcBorders/>
            <w:shd w:fill="CCEEFF" w:val="clear"/>
            <w:vAlign w:val="center"/>
          </w:tcPr>
          <w:p>
            <w:pPr>
              <w:pStyle w:val="TableContents"/>
              <w:bidi w:val="0"/>
              <w:spacing w:before="0" w:after="0"/>
              <w:ind w:left="0" w:right="0" w:hanging="0"/>
              <w:jc w:val="left"/>
              <w:rPr/>
            </w:pPr>
            <w:r>
              <w:rPr/>
              <w:t>​</w:t>
            </w:r>
          </w:p>
        </w:tc>
        <w:tc>
          <w:tcPr>
            <w:tcW w:w="11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r>
      <w:tr>
        <w:trPr/>
        <w:tc>
          <w:tcPr>
            <w:tcW w:w="67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financing activities</w:t>
            </w:r>
          </w:p>
        </w:tc>
        <w:tc>
          <w:tcPr>
            <w:tcW w:w="346" w:type="dxa"/>
            <w:tcBorders/>
            <w:vAlign w:val="center"/>
          </w:tcPr>
          <w:p>
            <w:pPr>
              <w:pStyle w:val="TableContents"/>
              <w:bidi w:val="0"/>
              <w:spacing w:before="0" w:after="0"/>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(1,337)</w:t>
            </w:r>
          </w:p>
        </w:tc>
        <w:tc>
          <w:tcPr>
            <w:tcW w:w="346" w:type="dxa"/>
            <w:tcBorders/>
            <w:vAlign w:val="center"/>
          </w:tcPr>
          <w:p>
            <w:pPr>
              <w:pStyle w:val="TableContents"/>
              <w:bidi w:val="0"/>
              <w:spacing w:before="0" w:after="0"/>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(2,807)</w:t>
            </w:r>
          </w:p>
        </w:tc>
        <w:tc>
          <w:tcPr>
            <w:tcW w:w="346" w:type="dxa"/>
            <w:tcBorders/>
            <w:vAlign w:val="center"/>
          </w:tcPr>
          <w:p>
            <w:pPr>
              <w:pStyle w:val="TableContents"/>
              <w:bidi w:val="0"/>
              <w:spacing w:before="0" w:after="0"/>
              <w:ind w:left="0" w:right="0" w:hanging="0"/>
              <w:jc w:val="left"/>
              <w:rPr/>
            </w:pPr>
            <w:r>
              <w:rPr/>
              <w:t>​</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(414)</w:t>
            </w:r>
          </w:p>
        </w:tc>
      </w:tr>
      <w:tr>
        <w:trPr/>
        <w:tc>
          <w:tcPr>
            <w:tcW w:w="67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pPr>
            <w:r>
              <w:rPr/>
              <w:t>​</w:t>
            </w:r>
          </w:p>
        </w:tc>
      </w:tr>
      <w:tr>
        <w:trPr/>
        <w:tc>
          <w:tcPr>
            <w:tcW w:w="67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Effect of exchange rate changes on cash and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w:t>
            </w:r>
          </w:p>
        </w:tc>
        <w:tc>
          <w:tcPr>
            <w:tcW w:w="346" w:type="dxa"/>
            <w:tcBorders/>
            <w:vAlign w:val="center"/>
          </w:tcPr>
          <w:p>
            <w:pPr>
              <w:pStyle w:val="TableContents"/>
              <w:bidi w:val="0"/>
              <w:spacing w:before="0" w:after="0"/>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w:t>
            </w:r>
          </w:p>
        </w:tc>
        <w:tc>
          <w:tcPr>
            <w:tcW w:w="346" w:type="dxa"/>
            <w:tcBorders/>
            <w:vAlign w:val="center"/>
          </w:tcPr>
          <w:p>
            <w:pPr>
              <w:pStyle w:val="TableContents"/>
              <w:bidi w:val="0"/>
              <w:spacing w:before="0" w:after="0"/>
              <w:ind w:left="0" w:right="0" w:hanging="0"/>
              <w:jc w:val="left"/>
              <w:rPr/>
            </w:pPr>
            <w:r>
              <w:rPr/>
              <w:t>​</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w:t>
            </w:r>
          </w:p>
        </w:tc>
      </w:tr>
      <w:tr>
        <w:trPr/>
        <w:tc>
          <w:tcPr>
            <w:tcW w:w="67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increase in cash and cash equivalents, and restricted cash, including cash classified within assets held for sale</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2,988</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3,858</w:t>
            </w:r>
          </w:p>
        </w:tc>
        <w:tc>
          <w:tcPr>
            <w:tcW w:w="346"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569</w:t>
            </w:r>
          </w:p>
        </w:tc>
      </w:tr>
      <w:tr>
        <w:trPr/>
        <w:tc>
          <w:tcPr>
            <w:tcW w:w="67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Less: net decrease in cash and cash equivalents classified within assets held for sale</w:t>
            </w:r>
          </w:p>
        </w:tc>
        <w:tc>
          <w:tcPr>
            <w:tcW w:w="34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4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 </w:t>
            </w:r>
          </w:p>
        </w:tc>
      </w:tr>
      <w:tr>
        <w:trPr/>
        <w:tc>
          <w:tcPr>
            <w:tcW w:w="67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at the beginning of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7,524</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10,532</w:t>
            </w:r>
          </w:p>
        </w:tc>
        <w:tc>
          <w:tcPr>
            <w:tcW w:w="346" w:type="dxa"/>
            <w:tcBorders/>
            <w:shd w:fill="CCEEFF" w:val="clear"/>
            <w:vAlign w:val="center"/>
          </w:tcPr>
          <w:p>
            <w:pPr>
              <w:pStyle w:val="TableContents"/>
              <w:bidi w:val="0"/>
              <w:spacing w:before="0" w:after="0"/>
              <w:ind w:left="0" w:right="0" w:hanging="0"/>
              <w:jc w:val="left"/>
              <w:rPr/>
            </w:pPr>
            <w:r>
              <w:rPr/>
              <w:t>​</w:t>
            </w:r>
          </w:p>
        </w:tc>
        <w:tc>
          <w:tcPr>
            <w:tcW w:w="11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1,552</w:t>
            </w:r>
          </w:p>
        </w:tc>
      </w:tr>
      <w:tr>
        <w:trPr/>
        <w:tc>
          <w:tcPr>
            <w:tcW w:w="67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at the end of the period</w:t>
            </w:r>
          </w:p>
        </w:tc>
        <w:tc>
          <w:tcPr>
            <w:tcW w:w="346" w:type="dxa"/>
            <w:tcBorders/>
            <w:vAlign w:val="center"/>
          </w:tcPr>
          <w:p>
            <w:pPr>
              <w:pStyle w:val="TableContents"/>
              <w:bidi w:val="0"/>
              <w:spacing w:before="0" w:after="0"/>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10,515</w:t>
            </w:r>
          </w:p>
        </w:tc>
        <w:tc>
          <w:tcPr>
            <w:tcW w:w="346" w:type="dxa"/>
            <w:tcBorders/>
            <w:vAlign w:val="center"/>
          </w:tcPr>
          <w:p>
            <w:pPr>
              <w:pStyle w:val="TableContents"/>
              <w:bidi w:val="0"/>
              <w:spacing w:before="0" w:after="0"/>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14,391</w:t>
            </w:r>
          </w:p>
        </w:tc>
        <w:tc>
          <w:tcPr>
            <w:tcW w:w="346" w:type="dxa"/>
            <w:tcBorders/>
            <w:vAlign w:val="center"/>
          </w:tcPr>
          <w:p>
            <w:pPr>
              <w:pStyle w:val="TableContents"/>
              <w:bidi w:val="0"/>
              <w:spacing w:before="0" w:after="0"/>
              <w:ind w:left="0" w:right="0" w:hanging="0"/>
              <w:jc w:val="left"/>
              <w:rPr/>
            </w:pPr>
            <w:r>
              <w:rPr/>
              <w:t>​</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2,121</w:t>
            </w:r>
          </w:p>
        </w:tc>
      </w:tr>
      <w:tr>
        <w:trPr/>
        <w:tc>
          <w:tcPr>
            <w:tcW w:w="672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pPr>
            <w:r>
              <w:rPr/>
              <w:t>​</w:t>
            </w:r>
          </w:p>
        </w:tc>
      </w:tr>
      <w:tr>
        <w:trPr/>
        <w:tc>
          <w:tcPr>
            <w:tcW w:w="67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10,145</w:t>
            </w:r>
          </w:p>
        </w:tc>
        <w:tc>
          <w:tcPr>
            <w:tcW w:w="34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14,249</w:t>
            </w:r>
          </w:p>
        </w:tc>
        <w:tc>
          <w:tcPr>
            <w:tcW w:w="346"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2,100</w:t>
            </w:r>
          </w:p>
        </w:tc>
      </w:tr>
      <w:tr>
        <w:trPr/>
        <w:tc>
          <w:tcPr>
            <w:tcW w:w="67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w:t>
            </w:r>
          </w:p>
        </w:tc>
        <w:tc>
          <w:tcPr>
            <w:tcW w:w="346" w:type="dxa"/>
            <w:tcBorders/>
            <w:shd w:fill="CCEEFF" w:val="clear"/>
            <w:vAlign w:val="center"/>
          </w:tcPr>
          <w:p>
            <w:pPr>
              <w:pStyle w:val="TableContents"/>
              <w:bidi w:val="0"/>
              <w:spacing w:before="0" w:after="0"/>
              <w:ind w:left="0" w:right="0" w:hanging="0"/>
              <w:jc w:val="left"/>
              <w:rPr/>
            </w:pPr>
            <w:r>
              <w:rPr/>
              <w:t>​</w:t>
            </w:r>
          </w:p>
        </w:tc>
        <w:tc>
          <w:tcPr>
            <w:tcW w:w="11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w:t>
            </w:r>
          </w:p>
        </w:tc>
      </w:tr>
      <w:tr>
        <w:trPr/>
        <w:tc>
          <w:tcPr>
            <w:tcW w:w="67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cash, cash equivalents and restricted cash shown in the statements of cash flows</w:t>
            </w:r>
          </w:p>
        </w:tc>
        <w:tc>
          <w:tcPr>
            <w:tcW w:w="346" w:type="dxa"/>
            <w:tcBorders/>
            <w:vAlign w:val="center"/>
          </w:tcPr>
          <w:p>
            <w:pPr>
              <w:pStyle w:val="TableContents"/>
              <w:bidi w:val="0"/>
              <w:spacing w:before="0" w:after="0"/>
              <w:ind w:left="0" w:right="0" w:hanging="0"/>
              <w:jc w:val="left"/>
              <w:rPr/>
            </w:pPr>
            <w:r>
              <w:rPr/>
              <w:t>​</w:t>
            </w:r>
          </w:p>
        </w:tc>
        <w:tc>
          <w:tcPr>
            <w:tcW w:w="6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10,515</w:t>
            </w:r>
          </w:p>
        </w:tc>
        <w:tc>
          <w:tcPr>
            <w:tcW w:w="346" w:type="dxa"/>
            <w:tcBorders/>
            <w:vAlign w:val="center"/>
          </w:tcPr>
          <w:p>
            <w:pPr>
              <w:pStyle w:val="TableContents"/>
              <w:bidi w:val="0"/>
              <w:spacing w:before="0" w:after="0"/>
              <w:ind w:left="0" w:right="0" w:hanging="0"/>
              <w:jc w:val="left"/>
              <w:rPr/>
            </w:pPr>
            <w:r>
              <w:rPr/>
              <w:t>​</w:t>
            </w:r>
          </w:p>
        </w:tc>
        <w:tc>
          <w:tcPr>
            <w:tcW w:w="6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14,391</w:t>
            </w:r>
          </w:p>
        </w:tc>
        <w:tc>
          <w:tcPr>
            <w:tcW w:w="346" w:type="dxa"/>
            <w:tcBorders/>
            <w:vAlign w:val="center"/>
          </w:tcPr>
          <w:p>
            <w:pPr>
              <w:pStyle w:val="TableContents"/>
              <w:bidi w:val="0"/>
              <w:spacing w:before="0" w:after="0"/>
              <w:ind w:left="0" w:right="0" w:hanging="0"/>
              <w:jc w:val="left"/>
              <w:rPr/>
            </w:pPr>
            <w:r>
              <w:rPr/>
              <w:t>​</w:t>
            </w:r>
          </w:p>
        </w:tc>
        <w:tc>
          <w:tcPr>
            <w:tcW w:w="11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2,121</w:t>
            </w:r>
          </w:p>
        </w:tc>
      </w:tr>
      <w:tr>
        <w:trPr/>
        <w:tc>
          <w:tcPr>
            <w:tcW w:w="67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disclosure of cash flow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pPr>
            <w:r>
              <w:rPr/>
              <w:t>​</w:t>
            </w:r>
          </w:p>
        </w:tc>
      </w:tr>
      <w:tr>
        <w:trPr/>
        <w:tc>
          <w:tcPr>
            <w:tcW w:w="67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paid</w:t>
            </w:r>
          </w:p>
        </w:tc>
        <w:tc>
          <w:tcPr>
            <w:tcW w:w="34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w:t>
            </w:r>
          </w:p>
        </w:tc>
        <w:tc>
          <w:tcPr>
            <w:tcW w:w="34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w:t>
            </w:r>
          </w:p>
        </w:tc>
        <w:tc>
          <w:tcPr>
            <w:tcW w:w="346"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r>
      <w:tr>
        <w:trPr/>
        <w:tc>
          <w:tcPr>
            <w:tcW w:w="67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paid</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889</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1,267</w:t>
            </w:r>
          </w:p>
        </w:tc>
        <w:tc>
          <w:tcPr>
            <w:tcW w:w="346"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w:t>
            </w:r>
          </w:p>
        </w:tc>
      </w:tr>
      <w:tr>
        <w:trPr/>
        <w:tc>
          <w:tcPr>
            <w:tcW w:w="67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schedule of non-cash investing and financing activities:</w:t>
            </w:r>
          </w:p>
        </w:tc>
        <w:tc>
          <w:tcPr>
            <w:tcW w:w="34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pPr>
            <w:r>
              <w:rPr/>
              <w:t>​</w:t>
            </w:r>
          </w:p>
        </w:tc>
      </w:tr>
      <w:tr>
        <w:trPr/>
        <w:tc>
          <w:tcPr>
            <w:tcW w:w="67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 included in payables</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343</w:t>
            </w:r>
          </w:p>
        </w:tc>
        <w:tc>
          <w:tcPr>
            <w:tcW w:w="34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w:t>
            </w:r>
          </w:p>
        </w:tc>
        <w:tc>
          <w:tcPr>
            <w:tcW w:w="346"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45</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18"/>
        </w:rPr>
      </w:pPr>
      <w:r>
        <w:rPr>
          <w:rFonts w:ascii="Times New Roman;Times;serif" w:hAnsi="Times New Roman;Times;serif"/>
          <w:sz w:val="18"/>
        </w:rPr>
        <w:t>The accompanying notes are an integral part of these unaudited interim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46" w:name="_8da2a473_d81b_4e28_bbca_633b31db8b4c"/>
      <w:bookmarkEnd w:id="746"/>
      <w:r>
        <w:rPr>
          <w:rFonts w:ascii="Times New Roman;Times;serif" w:hAnsi="Times New Roman;Times;serif"/>
          <w:b/>
          <w:sz w:val="20"/>
        </w:rPr>
        <w:t>H WORLD GROUP LIMITED</w:t>
      </w:r>
    </w:p>
    <w:p>
      <w:pPr>
        <w:pStyle w:val="TextBody"/>
        <w:bidi w:val="0"/>
        <w:spacing w:before="0" w:after="0"/>
        <w:ind w:left="0" w:right="0" w:hanging="0"/>
        <w:jc w:val="center"/>
        <w:rPr>
          <w:rFonts w:ascii="Times New Roman;Times;serif" w:hAnsi="Times New Roman;Times;serif"/>
          <w:b/>
          <w:sz w:val="20"/>
        </w:rPr>
      </w:pPr>
      <w:bookmarkStart w:id="747" w:name="NOTESTOCONSOLIDATEDFINANCIALSTATEMENTS_9"/>
      <w:bookmarkEnd w:id="747"/>
      <w:r>
        <w:rPr>
          <w:rFonts w:ascii="Times New Roman;Times;serif" w:hAnsi="Times New Roman;Times;serif"/>
          <w:b/>
          <w:sz w:val="20"/>
        </w:rPr>
        <w:t>NOTES TO UNAUDITED INTERIM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SIX MONTHS ENDED JUNE 30 2025 and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(Renminbi in millions, except share and per share data, unless otherwise stated)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ORGANIZATION AND PRINCIPAL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H World Group Limited (the “Company”) was incorporated in the Cayman Islands under the laws of the Cayman Islands on January 4, 2007. The principal business activities of the Company and its subsidiaries and consolidated variable interest entities (the “Group”) are to develop leased and owned, manachised and franchised hotels mainly in the People’s Republic of China (“PRC” or “PRC Mainland”, excluding, for the purposes of this consolidated financial statements only, Taiwan, the Hong Kong Special Administrative Region and the Macao Special Administrative Region), Europe and other countries and areas.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2, 2020, the Group completed the acquisition of 100% equity interest of Steigenberger Hotels Aktiengesellschaft (“Deutsche Hospitality” or “DH”) which was renamed as Steigenberger Hotels GmbH. Deutsche Hospitality was engaged in the business of leasing, franchising, operating and managing hotels in the midscale and upscale market in Europe, the Middle East and Africa. After the acquisition, “legacy DH” refers to Deutsche Hospitality and its subsidiaries and “legacy Huazhu” refers to the Group excluding Deutsche Hospitality. From the first quarter of 2026, the operating segments were relabeled to H World China (“HWC”) and H World International (“HWI”), replacing the previous legacy designations. HWC comprises all hotels operating inside China, while HWI comprises all hotels operating outside China.</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Leased and owned hotels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leases hotel properties from lessors or purchases properties directly and is responsible for all aspects of hotel operations and management, including hiring, training and supervising the managers and employees required to operate the hotels. In addition, the Group is responsible for hotel development and customization to conform to the standards of the Group brands at the beginning of the lease or the construction, as well as repairs and maintenance, operating expenses and management of properties over the term of the lease or the land and building certificate.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and June 30, 2026, the Group had 573 and 547 leased and owned hotels in operation, respectively.</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Manachised and franchised hotels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Group enters into franchise and management arrangements with franchisees for which the Group is responsible for providing branding, quality assurance, training, reservation, hiring and appointing of the hotel general manager and various other support services relating to hotel renovation and operations. Those hotels are classified as manachised hotels. Under the typical franchise and management agreements, the franchisee is required to pay an initial franchise fee and ongoing franchise and management service fees, which typically equal to a certain percentage of the revenues of the hotel. The franchisee is responsible for the costs of hotel development, renovation and the costs of its operations. There are also some franchised hotels for which the Group does not provide a hotel general manager. The franchise and management agreements typically range from 8 to 10 years under HWC, and 10 to 20 years under HWI. These agreements are renewable upon mutual agreement between the Group and the franchisee. As of December 31, 2025 and June 30, 2026, the Group had 12,170 and 12,892 manachised hotels in operation and 115 and 100 franchised hotels in operation,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PRINCIPAL ACCOUNTING POLICIES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consolidated financial statements of the Group have been prepared in accordance with the accounting principles generally accepted in the United States of America (“U.S. GAAP”).</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Basis of consolidation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consolidated financial statements include the financial statements of the Company, its majority-owned subsidiaries and consolidated variable interest entities (the “VIEs”). All intercompany transactions and balances are eliminated on consolidation. </w:t>
      </w:r>
    </w:p>
    <w:p>
      <w:pPr>
        <w:pStyle w:val="TextBody"/>
        <w:bidi w:val="0"/>
        <w:spacing w:before="0" w:after="200"/>
        <w:ind w:left="0" w:right="0" w:firstLine="360"/>
        <w:jc w:val="both"/>
        <w:rPr>
          <w:rFonts w:ascii="Times New Roman;Times;serif" w:hAnsi="Times New Roman;Times;serif"/>
          <w:b/>
          <w:i/>
          <w:sz w:val="20"/>
        </w:rPr>
      </w:pPr>
      <w:r>
        <w:rPr>
          <w:rFonts w:ascii="Times New Roman;Times;serif" w:hAnsi="Times New Roman;Times;serif"/>
          <w:b/>
          <w:i/>
          <w:sz w:val="20"/>
        </w:rPr>
        <w:t>Variable Interest Entities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Group evaluates the need to consolidate certain variable interest entities in which equity investors do not have the characteristics of a controlling financial interest or do not have sufficient equity at risk for the entity to finance its activities without additional subordinated financial support. Those entities were established to conduct business in internet-based services and international travel agency, and their operations so far have been immaterial to the Group.</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 of revenues and expenses during the reporting period. Actual results could differ from those estimates. The Group bases its estimates on historical experience and various other factors believed to be reasonable under the circumstances, the results of which form the basis for making judgments about the carrying value of assets and liabilities that are not readily apparent from other sources. Significant accounting estimates reflected in the Group’s consolidated financial statements include the impairment of goodwill and intangible assets with indefinite lives of HWI.</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Intangible assets, net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Intangible assets with finite useful lives are amortized using the straight-line method over their respective estimated useful lives over which the assets are expected to contribute directly or indirectly to the future cash flows of the Group. These estimated useful lives are generally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58"/>
        <w:gridCol w:w="346"/>
        <w:gridCol w:w="6101"/>
      </w:tblGrid>
      <w:tr>
        <w:trPr/>
        <w:tc>
          <w:tcPr>
            <w:tcW w:w="375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Franchise or manachise agreements</w:t>
            </w:r>
          </w:p>
        </w:tc>
        <w:tc>
          <w:tcPr>
            <w:tcW w:w="346" w:type="dxa"/>
            <w:tcBorders/>
            <w:shd w:fill="CCEEFF" w:val="clear"/>
            <w:vAlign w:val="center"/>
          </w:tcPr>
          <w:p>
            <w:pPr>
              <w:pStyle w:val="TableContents"/>
              <w:bidi w:val="0"/>
              <w:spacing w:before="0" w:after="0"/>
              <w:ind w:left="0" w:right="0" w:hanging="0"/>
              <w:jc w:val="left"/>
              <w:rPr/>
            </w:pPr>
            <w:r>
              <w:rPr/>
              <w:t>  ​ ​ ​</w:t>
            </w:r>
          </w:p>
        </w:tc>
        <w:tc>
          <w:tcPr>
            <w:tcW w:w="6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contract terms from 10 to 20 years</w:t>
            </w:r>
          </w:p>
        </w:tc>
      </w:tr>
      <w:tr>
        <w:trPr/>
        <w:tc>
          <w:tcPr>
            <w:tcW w:w="375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Purchased software</w:t>
            </w:r>
          </w:p>
        </w:tc>
        <w:tc>
          <w:tcPr>
            <w:tcW w:w="346" w:type="dxa"/>
            <w:tcBorders/>
            <w:vAlign w:val="center"/>
          </w:tcPr>
          <w:p>
            <w:pPr>
              <w:pStyle w:val="TableContents"/>
              <w:bidi w:val="0"/>
              <w:spacing w:before="0" w:after="0"/>
              <w:ind w:left="0" w:right="0" w:hanging="0"/>
              <w:jc w:val="left"/>
              <w:rPr/>
            </w:pPr>
            <w:r>
              <w:rPr/>
              <w:t>​</w:t>
            </w:r>
          </w:p>
        </w:tc>
        <w:tc>
          <w:tcPr>
            <w:tcW w:w="6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3 - 10 years based on the estimated usage period</w:t>
            </w:r>
          </w:p>
        </w:tc>
      </w:tr>
      <w:tr>
        <w:trPr/>
        <w:tc>
          <w:tcPr>
            <w:tcW w:w="375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intangible assets including trademark, licenses and other rights</w:t>
            </w:r>
          </w:p>
        </w:tc>
        <w:tc>
          <w:tcPr>
            <w:tcW w:w="346" w:type="dxa"/>
            <w:tcBorders/>
            <w:shd w:fill="CCEEFF" w:val="clear"/>
            <w:vAlign w:val="center"/>
          </w:tcPr>
          <w:p>
            <w:pPr>
              <w:pStyle w:val="TableContents"/>
              <w:bidi w:val="0"/>
              <w:spacing w:before="0" w:after="0"/>
              <w:ind w:left="0" w:right="0" w:hanging="0"/>
              <w:jc w:val="left"/>
              <w:rPr/>
            </w:pPr>
            <w:r>
              <w:rPr/>
              <w:t>​</w:t>
            </w:r>
          </w:p>
        </w:tc>
        <w:tc>
          <w:tcPr>
            <w:tcW w:w="6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2 - 15 years based on the contractual term, the length of license agreements and the effective terms of other legal rights</w:t>
            </w:r>
          </w:p>
        </w:tc>
      </w:tr>
    </w:tbl>
    <w:p>
      <w:pPr>
        <w:pStyle w:val="TextBody"/>
        <w:bidi w:val="0"/>
        <w:spacing w:before="0" w:after="0"/>
        <w:ind w:left="0" w:right="0" w:hanging="0"/>
        <w:jc w:val="left"/>
        <w:rPr/>
      </w:pPr>
      <w:r>
        <w:rPr/>
        <w: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Almost all the brand names and master brand agreement acquired by the Group are considered to have indefinite useful lives since there are no legal, regulatory, contractual, competitive, economic or other factors that limit the useful lives of these brands and these brands can be renewed at nominal cost. The Group evaluates the brand name and master brand agreement each reporting period to determine whether events and circumstances continue to support an indefinite useful life.</w:t>
      </w:r>
    </w:p>
    <w:p>
      <w:pPr>
        <w:pStyle w:val="TextBody"/>
        <w:bidi w:val="0"/>
        <w:spacing w:before="0" w:after="200"/>
        <w:ind w:left="0" w:right="0" w:firstLine="360"/>
        <w:jc w:val="left"/>
        <w:rPr>
          <w:rFonts w:ascii="Times New Roman;Times;serif" w:hAnsi="Times New Roman;Times;serif"/>
          <w:b/>
          <w:i/>
          <w:sz w:val="20"/>
        </w:rPr>
      </w:pPr>
      <w:r>
        <w:rPr>
          <w:rFonts w:ascii="Times New Roman;Times;serif" w:hAnsi="Times New Roman;Times;serif"/>
          <w:b/>
          <w:i/>
          <w:sz w:val="20"/>
        </w:rPr>
        <w:t>Impairment of long-lived assets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Group evaluates its long-lived assets including property and equipment, net, right-of-use assets and finite lived intangibles for impairment whenever events or changes in circumstances indicate that the carrying amount of an asset may not be recoverable. When these events occur, the Group measures impairment by comparing the carrying amount of the assets to future undiscounted net cash flows expected to result from the use of the assets and their eventual disposition. If the sum of the expected undiscounted cash flows is less than the carrying amount of the assets, the Group recognizes an impairment loss equal to the difference between the carrying amount and fair value of these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Group performed a recoverability test of its long-lived assets associated with certain hotels due to the continued underperformance relative to the projected operating results, of which the carrying amount of the long-lived assets exceeded the future undiscounted net cash flows, and recognized an impairment loss of RMB38 and RMB49 during the six months ended June 30, 2025 and 2026,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Fair value of the long-lived assets was determined by the Group based on the income approach using the discounted cash flow associated with the underlying assets, which incorporated certain assumptions including projected hotels’ revenue, growth rates and projected operating costs based on current economic condition, expectation of management and projected trends of current operating results.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determines if an arrangement is a lease or contains a lease at the inception of the contract. A lease arrangement is being evaluated for classification as operating or financing upon lease commencement. Lease liabilities, which represent the Group’s obligation to make lease payments arising from the lease, and corresponding right-of-use assets, which represent the Group’s right to use an underlying asset for the lease term, are recognized at the commencement date of the lease based on the present value of fixed future payments and variable lease payments that depend on an index or a rate (initially measured using the index or rate as at the commencement date) over the lease term, calculated using the discount rate implicit in the lease, if available, or the Group’s incremental borrowing rate. For operating leases, lease expense relating to fixed payments is recognized on a straight-line basis over the lease term and lease expense relating to variable payments is expensed as incurred. For finance leases, the amortization of the asset is recognized over the shorter of the lease term or useful life of the underlying asset.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Most leases have initial terms ranging from 10 to 20 years for HWC, and from 20 to 25 years for HWI. The lease term includes lessee’s options to extend or to early terminate the lease, and lease extension options are included in operating lease ROU assets and lease liabilities only to the extent that it is reasonably certain that the Group will exercise such extension options and will not exercise early termination options, respectively. The Group’s lease agreements may include nonlease components, mainly common area maintenance, which are combined with the lease components as the Group elects to account for these components as a single lease component, as permitted. The Group elected the practical expedient of not to separate land components outside PRC from leases of specified property and equipment at the ASC 842 transition date. Besides, the Group’s lease payments are generally fixed and certain agreements contain variable lease payments based on the operating performance of the leased property and the changes in the index of consumer pricing index (“CPI”). Almost all the lease agreements with variable lease payments based on the changes in CPI are held by HWI.</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operating leases, the Group recognizes lease expense on a straight-line basis over the lease term and variable lease payments that depend on an index or a rate are initially measured using the index or rate at the commencement date, otherwise variable lease payments are recognized in the period in which the obligation for those payments is incurred. The operating lease expense is recognized as hotel operating costs, general and administrative expenses and pre-opening expenses in the consolidated statements of comprehensive income. For finance lease, lease expense is front-loaded, because ROU asset is depreciated on a straight-line basis over the shorter of the lease term or useful life of the underlying asset, and the lease liability is measured at amortized cost using the effective interest method, and the interest expense declines as the balance of lease liability declines; the depreciation of ROU assets and interest expenses on lease liabilities are respectively classified as hotel operating costs and interest expense in the consolidated statements of comprehensive income. Additionally, the Group elected not to recognize leases with lease terms of 12 months or less at the commencement date. Lease payments on short-term leases are recognized as an expense on a straight-line basis over the lease term, and are not included in lease liabilities. The Group’s lease agreements do not contain any significant residual value guarantees or restricted covenants.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reassesses of a contract is or contains a leasing arrangement and re-measures ROU assets and liabilities upon modification of the contract. The Group will derecognize ROU assets and liabilities, with difference recognized in the consolidated statements of comprehensive income on the contract termination.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Current income taxes are provided for in accordance with the relevant statutory tax laws and regulations.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Deferred income taxes are recognized for temporary differences between the tax basis of assets and liabilities and their reported amounts in the financial statements. Net operating losses are carried forward and credited by applying enacted statutory tax rates applicable to future years. Deferred tax assets are reduced by a valuation allowance when, in the opinion of the Group, it is more-likely-than-not that some portion or all of the deferred tax assets will not be realized. For a particular tax-paying component of an entity and within a particular tax jurisdiction, all deferred tax liabilities and assets, as well as any related valuation allowance, shall be offset and presented as a single noncurrent amount. However, an entity shall not offset deferred tax liabilities and assets attributable to different tax-paying components of the entity or to different tax jurisdictions.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According to ASC 740-270 Interim Reporting, an estimated annual effective tax rate (AETR) on full year estimated ordinary income should first be determined by the Company and the estimated AETR is then applied to year-to-date ordinary income to compute the interim tax provision on ordinary income.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Foreign currency translation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reporting currency of the Group is the Renminbi (“RMB”). The functional currency of the Company is the United States dollar (“US$”). Monetary assets and liabilities denominated in currencies other than the functional currency are remeasured in functional currency at the rates of exchange ruling at the balance sheet date. Transactions in currencies other than the functional currency during the year are converted into the functional currency at the applicable rates of exchange prevailing on the day transactions occurred. Transaction gains and losses are recognized in the statements of comprehensive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Assets and liabilities are translated into RMB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comprehensive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financial records of the Group’s subsidiaries are maintained in local currencies, which are the functional currencies.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Fair value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established fair value hierarchy by U.S. GAAP has three levels based on the reliability of the inputs used to measure fair value: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Level 1 applies to assets or liabilities for which there are quoted prices in active markets for identical assets or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Level 3 applies to assets or liabilities for which there are unobservable inputs to the valuation methodology that are significant to the measurement of the fair value of the assets or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financial instruments of the Group not measured at fair value include cash and cash equivalent, restricted cash, loan receivables, receivables, held to maturity investments in short-term investments and long-term investments, payables, short-term debts and long-term debts. The carrying amounts of the short-term financial instruments approximates their fair value due to their short-term nature. The long-term debts, long-term loan receivables, and held to maturity investments in long-term investments approximate their fair values, because the bearing interest rates approximate market interest rate, and market interest rates have not fluctuated significantly since the commencement of loan contracts signed.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748" w:name="Tc_osyfld3-A0SR8Oc3K1LeOw_9_0"/>
      <w:bookmarkStart w:id="749" w:name="Tc_RGo-VfUb_UuZPauZPhmtzg_8_4"/>
      <w:bookmarkStart w:id="750" w:name="Tc_7uGPTg9y40q74CiYuI77kw_8_2"/>
      <w:bookmarkStart w:id="751" w:name="Tc_IeBKt-kUPUOEAk-JY6fDuQ_7_0"/>
      <w:bookmarkStart w:id="752" w:name="Tc_plgjLDhR-UiV7SIjtJHMSw_6_0"/>
      <w:bookmarkStart w:id="753" w:name="Tc_wpToYBC-jUqV2vQeivx6jg_5_6"/>
      <w:bookmarkStart w:id="754" w:name="Tc_7gbSlrJvwE27-NW0sTu6Ug_5_4"/>
      <w:bookmarkStart w:id="755" w:name="Tc_Kq0dU5u9fUWZvex1Ta1o0A_5_2"/>
      <w:bookmarkStart w:id="756" w:name="Tc_h1YNXsfDSUathYFouquijw_5_0"/>
      <w:bookmarkStart w:id="757" w:name="Tc_2zH9jE8VLk6eia9SRy0vnA_4_6"/>
      <w:bookmarkStart w:id="758" w:name="Tc_rafjErOidkm4zvkIPDItnA_4_4"/>
      <w:bookmarkStart w:id="759" w:name="Tc_QkS4rDRtiUe4AH8ccLN6Mg_3_6"/>
      <w:bookmarkStart w:id="760" w:name="Tc_gHLzgYYv10KnkF9He63wOw_3_4"/>
      <w:bookmarkStart w:id="761" w:name="Tc_nrzKEloArUeGQYcxGzutfg_2_6"/>
      <w:bookmarkStart w:id="762" w:name="Tc_C_FZ3PsT5EW072VdrNL_Cg_2_4"/>
      <w:bookmarkStart w:id="763" w:name="Tc_7UeGzw0GxkyuhQwtJI8YEg_1_4"/>
      <w:bookmarkStart w:id="764" w:name="Tc_oC8TYm7G20iMU2oiPGQO5w_1_0"/>
      <w:bookmarkStart w:id="765" w:name="_8057fe43_4483_4fc0_8cf1_3ecdd599c372"/>
      <w:bookmarkStart w:id="766" w:name="Tc_uCUJv6MjW0yilKsRDfeSZQ_11_0"/>
      <w:bookmarkStart w:id="767" w:name="Tc_pfgqixXrpkOhbeoZODuKdw_10_0"/>
      <w:bookmarkStart w:id="768" w:name="Tc_78iMCGFiQEeZmWeafvri9w_9_4"/>
      <w:bookmarkStart w:id="769" w:name="Tc_XfTh54v5ik-S28ZUAFdeNQ_9_2"/>
      <w:bookmarkStart w:id="770" w:name="Tc_iXffBC_Pq0OMN3LDxjBJ_A_8_4"/>
      <w:bookmarkStart w:id="771" w:name="Tc_p8SH3HpJoUypnGCFe0IhNA_8_2"/>
      <w:bookmarkStart w:id="772" w:name="Tc_rwKafkzaCk-fJGBe5N8oJA_8_0"/>
      <w:bookmarkStart w:id="773" w:name="Tc_8_iFVQYgFEK12fDxEHWHVw_7_0"/>
      <w:bookmarkStart w:id="774" w:name="Tc_s80eWlSRYEePDSQM_VJw5Q_6_0"/>
      <w:bookmarkStart w:id="775" w:name="Tc_UFKTUOkSmk-vc-S_tZDMuA_5_6"/>
      <w:bookmarkStart w:id="776" w:name="Tc_r_OSFuQEGkO6CoC-TC2bdg_5_4"/>
      <w:bookmarkStart w:id="777" w:name="Tc_alRykAJaYkW4PPSsiJF90w_5_2"/>
      <w:bookmarkStart w:id="778" w:name="Tc_b477meci0kiRf2bn-qxdPw_5_0"/>
      <w:bookmarkStart w:id="779" w:name="Tc_1gU-FSISF0WDVI4S-fmbVg_4_6"/>
      <w:bookmarkStart w:id="780" w:name="Tc_Fubm-xmv40afEjGAC7AOWA_4_4"/>
      <w:bookmarkStart w:id="781" w:name="Tc_77FQjEoYW02eGLkzj5ocBw_3_6"/>
      <w:bookmarkStart w:id="782" w:name="Tc_b6k_2Rn1v06rn44hroHE5w_3_4"/>
      <w:bookmarkStart w:id="783" w:name="Tc_Hzn-C89ak0OKsvjPBgZaSA_2_4"/>
      <w:bookmarkStart w:id="784" w:name="Tc_meMiryKtaE-I_2Kq5rg2cw_1_4"/>
      <w:bookmarkStart w:id="785" w:name="Tc_uWWielDenUqLwdd5Jq0qPQ_1_0"/>
      <w:bookmarkStart w:id="786" w:name="_4cab2413_3708_454d_ab3f_81e595f3ac85"/>
      <w:bookmarkStart w:id="787" w:name="Tc_ardE2DnlIkKe2iFf4a3vJw_9_6"/>
      <w:bookmarkStart w:id="788" w:name="Tc_7XhoL_ueLkmEbLNBdYxcoQ_9_4"/>
      <w:bookmarkStart w:id="789" w:name="Tc_Z9PisEDZSUar9DSQQK7mGw_9_0"/>
      <w:bookmarkStart w:id="790" w:name="Tc_5moeRVSx0UaGr3UrcLFmOQ_8_4"/>
      <w:bookmarkStart w:id="791" w:name="Tc_0FGJt-9ODEypCbRX6uXr0w_8_2"/>
      <w:bookmarkStart w:id="792" w:name="Tc_RpnqPCGHVEehpQBnlJyihw_8_0"/>
      <w:bookmarkStart w:id="793" w:name="Tc_2I8jJPO27kyi1KwA0lhM-g_7_0"/>
      <w:bookmarkStart w:id="794" w:name="Tc_atizRSjVnUmzcLzgb8RbMg_6_6"/>
      <w:bookmarkStart w:id="795" w:name="Tc_7zxLR_NeVEOf43aAwN3OhA_6_4"/>
      <w:bookmarkStart w:id="796" w:name="Tc_3clsADmSOke31Jlr6Ikgvw_6_0"/>
      <w:bookmarkStart w:id="797" w:name="Tc_yycje1gDzU2swhqO5Wj_6A_5_0"/>
      <w:bookmarkStart w:id="798" w:name="Tc_775fkB0iOkijWNQhon1-lw_4_6"/>
      <w:bookmarkStart w:id="799" w:name="Tc__DO_P1JV9kyESQfOk5hDsg_4_4"/>
      <w:bookmarkStart w:id="800" w:name="Tc_zkr1tq8YaUCwoZ_-DDjmvQ_4_2"/>
      <w:bookmarkStart w:id="801" w:name="Tc__pY13bYsQU6qRssNnXnb9w_4_0"/>
      <w:bookmarkStart w:id="802" w:name="Tc_rrOmFpN0i0CAxWxXJhENYg_3_6"/>
      <w:bookmarkStart w:id="803" w:name="Tc_oL9Wex4va06lI_tx43qxQQ_3_4"/>
      <w:bookmarkStart w:id="804" w:name="Tc_SQrmUNk-m0CeR-olIRilzg_3_2"/>
      <w:bookmarkStart w:id="805" w:name="Tc_r2olJn6GnEq8RQeYefZeCg_2_6"/>
      <w:bookmarkStart w:id="806" w:name="Tc_VWA-wgAU4UmpnnMuTboh3Q_2_4"/>
      <w:bookmarkStart w:id="807" w:name="Tc_vRmxu4-hNE6lZdYhSRCTRw_2_2"/>
      <w:bookmarkStart w:id="808" w:name="Tc_khmj08SPy0iPqcctw_8rgw_1_2"/>
      <w:bookmarkStart w:id="809" w:name="Tc_ZmW9n5J9kE6xH7CwWmeJ_Q_1_0"/>
      <w:bookmarkStart w:id="810" w:name="_44766642_11c1_4418_9669_436913a1d746"/>
      <w:bookmarkStart w:id="811" w:name="Tc_toL_27IYpECsknVfCMc91g_9_6"/>
      <w:bookmarkStart w:id="812" w:name="Tc_rxfWHwk95ki1_CudAXGJNg_9_4"/>
      <w:bookmarkStart w:id="813" w:name="Tc_s-W4Xo96T0ap4kvFnhWQ4A_9_0"/>
      <w:bookmarkStart w:id="814" w:name="Tc_Y1PMywtNo0SndIKrWM6uGQ_8_4"/>
      <w:bookmarkStart w:id="815" w:name="Tc_JkdBAdS1ik2ZxNEUZcuK0g_8_2"/>
      <w:bookmarkStart w:id="816" w:name="Tc_1_nmwQRr2kSbqhsTInPJRw_8_0"/>
      <w:bookmarkStart w:id="817" w:name="Tc_gxPYAxOiDU28gEO0Yigpmg_7_0"/>
      <w:bookmarkStart w:id="818" w:name="Tc_zU_K2mYKikS3EsrpdiRErg_6_6"/>
      <w:bookmarkStart w:id="819" w:name="Tc_h8e_MU_CqUmoTbxtcyxcMQ_6_4"/>
      <w:bookmarkStart w:id="820" w:name="Tc_o80Hxn6K9EG8KPG2cImnrQ_6_0"/>
      <w:bookmarkStart w:id="821" w:name="Tc_4P4L8y_v4kSP5x0drbqArg_5_0"/>
      <w:bookmarkStart w:id="822" w:name="Tc_n9u9igs4_UC8FFTzBz043A_4_6"/>
      <w:bookmarkStart w:id="823" w:name="Tc_SIS4ihGtV0axjyoE6S244w_4_4"/>
      <w:bookmarkStart w:id="824" w:name="Tc_m5zesPeyvUeHNRMXaa5j9g_4_2"/>
      <w:bookmarkStart w:id="825" w:name="Tc_90gI6y3Y0EqdZ4mE7VbUyA_4_0"/>
      <w:bookmarkStart w:id="826" w:name="Tc_mUv6znKTr0e6IsgwAd0hNQ_3_6"/>
      <w:bookmarkStart w:id="827" w:name="Tc_Tu1N_94q2kOAaykyoz07jg_3_4"/>
      <w:bookmarkStart w:id="828" w:name="Tc_ZBRB_n40FUum3xALg7lRLw_3_2"/>
      <w:bookmarkStart w:id="829" w:name="Tc_aWuKIdVBQE2cRc5XFHLvtw_2_6"/>
      <w:bookmarkStart w:id="830" w:name="Tc_kALCqE016Eu9NpshLmnxmQ_2_4"/>
      <w:bookmarkStart w:id="831" w:name="Tc_yxIzIcN64Um-_HvFEhdEnA_2_2"/>
      <w:bookmarkStart w:id="832" w:name="Tc_J3Xtuw7KwUGkU5AoAcvofQ_1_2"/>
      <w:bookmarkStart w:id="833" w:name="Tc_iTJYm4y1b0msWjpCaNPQ7g_1_0"/>
      <w:bookmarkStart w:id="834" w:name="_3241718e_87ba_4fe4_8c1b_226eaa5f7f5e"/>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r>
        <w:rPr>
          <w:rFonts w:ascii="Times New Roman;Times;serif" w:hAnsi="Times New Roman;Times;serif"/>
          <w:sz w:val="20"/>
        </w:rPr>
        <w:t>The following table presents our assets that are measured at fair value on a recurring basis and are categorized using the fair value hierarchy.</w:t>
      </w:r>
    </w:p>
    <w:p>
      <w:pPr>
        <w:pStyle w:val="TextBody"/>
        <w:bidi w:val="0"/>
        <w:spacing w:before="0" w:after="240"/>
        <w:ind w:left="0" w:right="0" w:hanging="0"/>
        <w:jc w:val="left"/>
        <w:rPr/>
      </w:pPr>
      <w:r>
        <w:rPr/>
        <w:t>​</w:t>
      </w:r>
    </w:p>
    <w:tbl>
      <w:tblPr>
        <w:tblW w:w="10072" w:type="dxa"/>
        <w:jc w:val="left"/>
        <w:tblInd w:w="0" w:type="dxa"/>
        <w:tblLayout w:type="fixed"/>
        <w:tblCellMar>
          <w:top w:w="0" w:type="dxa"/>
          <w:left w:w="0" w:type="dxa"/>
          <w:bottom w:w="0" w:type="dxa"/>
          <w:right w:w="0" w:type="dxa"/>
        </w:tblCellMar>
      </w:tblPr>
      <w:tblGrid>
        <w:gridCol w:w="4501"/>
        <w:gridCol w:w="346"/>
        <w:gridCol w:w="1816"/>
        <w:gridCol w:w="346"/>
        <w:gridCol w:w="1426"/>
        <w:gridCol w:w="346"/>
        <w:gridCol w:w="1291"/>
      </w:tblGrid>
      <w:tr>
        <w:trPr/>
        <w:tc>
          <w:tcPr>
            <w:tcW w:w="4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858135" cy="175260"/>
                      <wp:effectExtent l="0" t="0" r="0" b="0"/>
                      <wp:wrapNone/>
                      <wp:docPr id="46" name="Frame46"/>
                      <a:graphic xmlns:a="http://schemas.openxmlformats.org/drawingml/2006/main">
                        <a:graphicData uri="http://schemas.microsoft.com/office/word/2010/wordprocessingShape">
                          <wps:wsp>
                            <wps:cNvSpPr txBox="1"/>
                            <wps:spPr>
                              <a:xfrm>
                                <a:off x="0" y="0"/>
                                <a:ext cx="2858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153160" cy="175260"/>
                      <wp:effectExtent l="0" t="0" r="0" b="0"/>
                      <wp:wrapNone/>
                      <wp:docPr id="48" name="Frame48"/>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905510" cy="175260"/>
                      <wp:effectExtent l="0" t="0" r="0" b="0"/>
                      <wp:wrapNone/>
                      <wp:docPr id="50" name="Frame50"/>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819785" cy="175260"/>
                      <wp:effectExtent l="0" t="0" r="0" b="0"/>
                      <wp:wrapNone/>
                      <wp:docPr id="52" name="Frame52"/>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01"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of December 31, 2025</w:t>
            </w:r>
          </w:p>
        </w:tc>
        <w:tc>
          <w:tcPr>
            <w:tcW w:w="346" w:type="dxa"/>
            <w:tcBorders/>
            <w:vAlign w:val="center"/>
          </w:tcPr>
          <w:p>
            <w:pPr>
              <w:pStyle w:val="TableContents"/>
              <w:bidi w:val="0"/>
              <w:spacing w:before="0" w:after="1"/>
              <w:ind w:left="0" w:right="0" w:hanging="0"/>
              <w:jc w:val="center"/>
              <w:rPr/>
            </w:pPr>
            <w:r>
              <w:rPr/>
              <w:t>​</w:t>
            </w:r>
          </w:p>
        </w:tc>
        <w:tc>
          <w:tcPr>
            <w:tcW w:w="52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at Reporting Date Using</w:t>
            </w:r>
          </w:p>
        </w:tc>
      </w:tr>
      <w:tr>
        <w:trPr/>
        <w:tc>
          <w:tcPr>
            <w:tcW w:w="45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Prices in Active</w:t>
            </w:r>
          </w:p>
        </w:tc>
        <w:tc>
          <w:tcPr>
            <w:tcW w:w="346" w:type="dxa"/>
            <w:tcBorders/>
            <w:vAlign w:val="center"/>
          </w:tcPr>
          <w:p>
            <w:pPr>
              <w:pStyle w:val="TableContents"/>
              <w:bidi w:val="0"/>
              <w:spacing w:before="0" w:after="1"/>
              <w:ind w:left="0" w:right="0" w:hanging="0"/>
              <w:jc w:val="center"/>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346"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45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 for Identical</w:t>
            </w:r>
          </w:p>
        </w:tc>
        <w:tc>
          <w:tcPr>
            <w:tcW w:w="346" w:type="dxa"/>
            <w:tcBorders/>
            <w:vAlign w:val="center"/>
          </w:tcPr>
          <w:p>
            <w:pPr>
              <w:pStyle w:val="TableContents"/>
              <w:bidi w:val="0"/>
              <w:spacing w:before="0" w:after="1"/>
              <w:ind w:left="0" w:right="0" w:hanging="0"/>
              <w:jc w:val="center"/>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346"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4501"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46" w:type="dxa"/>
            <w:tcBorders/>
            <w:vAlign w:val="center"/>
          </w:tcPr>
          <w:p>
            <w:pPr>
              <w:pStyle w:val="TableContents"/>
              <w:bidi w:val="0"/>
              <w:spacing w:before="0" w:after="1"/>
              <w:ind w:left="0" w:right="0" w:hanging="0"/>
              <w:jc w:val="left"/>
              <w:rPr/>
            </w:pPr>
            <w:r>
              <w:rPr/>
              <w:t>  ​ ​ ​</w:t>
            </w:r>
          </w:p>
        </w:tc>
        <w:tc>
          <w:tcPr>
            <w:tcW w:w="18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(Level 1)</w:t>
            </w:r>
          </w:p>
        </w:tc>
        <w:tc>
          <w:tcPr>
            <w:tcW w:w="346" w:type="dxa"/>
            <w:tcBorders/>
            <w:vAlign w:val="center"/>
          </w:tcPr>
          <w:p>
            <w:pPr>
              <w:pStyle w:val="TableContents"/>
              <w:bidi w:val="0"/>
              <w:spacing w:before="0" w:after="1"/>
              <w:ind w:left="0" w:right="0" w:hanging="0"/>
              <w:jc w:val="left"/>
              <w:rPr/>
            </w:pPr>
            <w:r>
              <w:rPr/>
              <w:t>  ​ ​ ​</w:t>
            </w:r>
          </w:p>
        </w:tc>
        <w:tc>
          <w:tcPr>
            <w:tcW w:w="14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left"/>
              <w:rPr/>
            </w:pPr>
            <w:r>
              <w:rPr/>
              <w:t>  ​ ​ ​</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 (Level 3)</w:t>
            </w:r>
          </w:p>
        </w:tc>
      </w:tr>
      <w:tr>
        <w:trPr/>
        <w:tc>
          <w:tcPr>
            <w:tcW w:w="450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 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8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pPr>
            <w:r>
              <w:rPr/>
              <w:t>​</w:t>
            </w:r>
          </w:p>
        </w:tc>
      </w:tr>
      <w:tr>
        <w:trPr/>
        <w:tc>
          <w:tcPr>
            <w:tcW w:w="450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securities with readily determinable fair values</w:t>
            </w:r>
          </w:p>
        </w:tc>
        <w:tc>
          <w:tcPr>
            <w:tcW w:w="346" w:type="dxa"/>
            <w:tcBorders/>
            <w:vAlign w:val="center"/>
          </w:tcPr>
          <w:p>
            <w:pPr>
              <w:pStyle w:val="TableContents"/>
              <w:bidi w:val="0"/>
              <w:spacing w:before="0" w:after="1"/>
              <w:ind w:left="0" w:right="0" w:hanging="0"/>
              <w:jc w:val="left"/>
              <w:rPr/>
            </w:pPr>
            <w:r>
              <w:rPr/>
              <w:t>​</w:t>
            </w:r>
          </w:p>
        </w:tc>
        <w:tc>
          <w:tcPr>
            <w:tcW w:w="18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pPr>
            <w:r>
              <w:rPr/>
              <w:t>—</w:t>
            </w:r>
          </w:p>
        </w:tc>
      </w:tr>
      <w:tr>
        <w:trPr/>
        <w:tc>
          <w:tcPr>
            <w:tcW w:w="450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 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8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pPr>
            <w:r>
              <w:rPr/>
              <w:t>​</w:t>
            </w:r>
          </w:p>
        </w:tc>
      </w:tr>
      <w:tr>
        <w:trPr/>
        <w:tc>
          <w:tcPr>
            <w:tcW w:w="450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debt securities</w:t>
            </w:r>
          </w:p>
        </w:tc>
        <w:tc>
          <w:tcPr>
            <w:tcW w:w="346" w:type="dxa"/>
            <w:tcBorders/>
            <w:vAlign w:val="center"/>
          </w:tcPr>
          <w:p>
            <w:pPr>
              <w:pStyle w:val="TableContents"/>
              <w:bidi w:val="0"/>
              <w:spacing w:before="0" w:after="1"/>
              <w:ind w:left="0" w:right="0" w:hanging="0"/>
              <w:jc w:val="left"/>
              <w:rPr/>
            </w:pPr>
            <w:r>
              <w:rPr/>
              <w:t> </w:t>
            </w:r>
          </w:p>
        </w:tc>
        <w:tc>
          <w:tcPr>
            <w:tcW w:w="18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4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r>
      <w:tr>
        <w:trPr/>
        <w:tc>
          <w:tcPr>
            <w:tcW w:w="450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benefit plan assets</w:t>
            </w:r>
          </w:p>
        </w:tc>
        <w:tc>
          <w:tcPr>
            <w:tcW w:w="346" w:type="dxa"/>
            <w:tcBorders/>
            <w:shd w:fill="CCEEFF" w:val="clear"/>
            <w:vAlign w:val="center"/>
          </w:tcPr>
          <w:p>
            <w:pPr>
              <w:pStyle w:val="TableContents"/>
              <w:bidi w:val="0"/>
              <w:spacing w:before="0" w:after="1"/>
              <w:ind w:left="0" w:right="0" w:hanging="0"/>
              <w:jc w:val="left"/>
              <w:rPr/>
            </w:pPr>
            <w:r>
              <w:rPr/>
              <w:t> </w:t>
            </w:r>
          </w:p>
        </w:tc>
        <w:tc>
          <w:tcPr>
            <w:tcW w:w="18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 </w:t>
            </w:r>
          </w:p>
        </w:tc>
        <w:tc>
          <w:tcPr>
            <w:tcW w:w="14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tbl>
      <w:tblPr>
        <w:tblW w:w="9997" w:type="dxa"/>
        <w:jc w:val="left"/>
        <w:tblInd w:w="0" w:type="dxa"/>
        <w:tblLayout w:type="fixed"/>
        <w:tblCellMar>
          <w:top w:w="0" w:type="dxa"/>
          <w:left w:w="0" w:type="dxa"/>
          <w:bottom w:w="0" w:type="dxa"/>
          <w:right w:w="0" w:type="dxa"/>
        </w:tblCellMar>
      </w:tblPr>
      <w:tblGrid>
        <w:gridCol w:w="4426"/>
        <w:gridCol w:w="346"/>
        <w:gridCol w:w="1816"/>
        <w:gridCol w:w="346"/>
        <w:gridCol w:w="1426"/>
        <w:gridCol w:w="346"/>
        <w:gridCol w:w="1291"/>
      </w:tblGrid>
      <w:tr>
        <w:trPr/>
        <w:tc>
          <w:tcPr>
            <w:tcW w:w="4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810510" cy="175260"/>
                      <wp:effectExtent l="0" t="0" r="0" b="0"/>
                      <wp:wrapNone/>
                      <wp:docPr id="53" name="Frame53"/>
                      <a:graphic xmlns:a="http://schemas.openxmlformats.org/drawingml/2006/main">
                        <a:graphicData uri="http://schemas.microsoft.com/office/word/2010/wordprocessingShape">
                          <wps:wsp>
                            <wps:cNvSpPr txBox="1"/>
                            <wps:spPr>
                              <a:xfrm>
                                <a:off x="0" y="0"/>
                                <a:ext cx="2810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153160" cy="175260"/>
                      <wp:effectExtent l="0" t="0" r="0" b="0"/>
                      <wp:wrapNone/>
                      <wp:docPr id="55" name="Frame55"/>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905510" cy="175260"/>
                      <wp:effectExtent l="0" t="0" r="0" b="0"/>
                      <wp:wrapNone/>
                      <wp:docPr id="57" name="Frame57"/>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819785" cy="175260"/>
                      <wp:effectExtent l="0" t="0" r="0" b="0"/>
                      <wp:wrapNone/>
                      <wp:docPr id="59" name="Frame59"/>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2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of June 30, 2026</w:t>
            </w:r>
          </w:p>
        </w:tc>
        <w:tc>
          <w:tcPr>
            <w:tcW w:w="346" w:type="dxa"/>
            <w:tcBorders/>
            <w:vAlign w:val="center"/>
          </w:tcPr>
          <w:p>
            <w:pPr>
              <w:pStyle w:val="TableContents"/>
              <w:bidi w:val="0"/>
              <w:spacing w:before="0" w:after="1"/>
              <w:ind w:left="0" w:right="0" w:hanging="0"/>
              <w:jc w:val="center"/>
              <w:rPr/>
            </w:pPr>
            <w:r>
              <w:rPr/>
              <w:t>​</w:t>
            </w:r>
          </w:p>
        </w:tc>
        <w:tc>
          <w:tcPr>
            <w:tcW w:w="52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at Reporting Date Using</w:t>
            </w:r>
          </w:p>
        </w:tc>
      </w:tr>
      <w:tr>
        <w:trPr/>
        <w:tc>
          <w:tcPr>
            <w:tcW w:w="44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Prices in Active</w:t>
            </w:r>
          </w:p>
        </w:tc>
        <w:tc>
          <w:tcPr>
            <w:tcW w:w="346" w:type="dxa"/>
            <w:tcBorders/>
            <w:vAlign w:val="center"/>
          </w:tcPr>
          <w:p>
            <w:pPr>
              <w:pStyle w:val="TableContents"/>
              <w:bidi w:val="0"/>
              <w:spacing w:before="0" w:after="1"/>
              <w:ind w:left="0" w:right="0" w:hanging="0"/>
              <w:jc w:val="center"/>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346"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44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 for Identical</w:t>
            </w:r>
          </w:p>
        </w:tc>
        <w:tc>
          <w:tcPr>
            <w:tcW w:w="346" w:type="dxa"/>
            <w:tcBorders/>
            <w:vAlign w:val="center"/>
          </w:tcPr>
          <w:p>
            <w:pPr>
              <w:pStyle w:val="TableContents"/>
              <w:bidi w:val="0"/>
              <w:spacing w:before="0" w:after="1"/>
              <w:ind w:left="0" w:right="0" w:hanging="0"/>
              <w:jc w:val="center"/>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346" w:type="dxa"/>
            <w:tcBorders/>
            <w:vAlign w:val="center"/>
          </w:tcPr>
          <w:p>
            <w:pPr>
              <w:pStyle w:val="TableContents"/>
              <w:bidi w:val="0"/>
              <w:spacing w:before="0" w:after="1"/>
              <w:ind w:left="0" w:right="0" w:hanging="0"/>
              <w:jc w:val="center"/>
              <w:rPr/>
            </w:pPr>
            <w:r>
              <w:rPr/>
              <w:t>​</w:t>
            </w:r>
          </w:p>
        </w:tc>
        <w:tc>
          <w:tcPr>
            <w:tcW w:w="12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4426"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46" w:type="dxa"/>
            <w:tcBorders/>
            <w:vAlign w:val="center"/>
          </w:tcPr>
          <w:p>
            <w:pPr>
              <w:pStyle w:val="TableContents"/>
              <w:bidi w:val="0"/>
              <w:spacing w:before="0" w:after="1"/>
              <w:ind w:left="0" w:right="0" w:hanging="0"/>
              <w:jc w:val="left"/>
              <w:rPr/>
            </w:pPr>
            <w:r>
              <w:rPr/>
              <w:t>  ​ ​ ​</w:t>
            </w:r>
          </w:p>
        </w:tc>
        <w:tc>
          <w:tcPr>
            <w:tcW w:w="18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(Level 1)</w:t>
            </w:r>
          </w:p>
        </w:tc>
        <w:tc>
          <w:tcPr>
            <w:tcW w:w="346" w:type="dxa"/>
            <w:tcBorders/>
            <w:vAlign w:val="center"/>
          </w:tcPr>
          <w:p>
            <w:pPr>
              <w:pStyle w:val="TableContents"/>
              <w:bidi w:val="0"/>
              <w:spacing w:before="0" w:after="1"/>
              <w:ind w:left="0" w:right="0" w:hanging="0"/>
              <w:jc w:val="left"/>
              <w:rPr/>
            </w:pPr>
            <w:r>
              <w:rPr/>
              <w:t>  ​ ​ ​</w:t>
            </w:r>
          </w:p>
        </w:tc>
        <w:tc>
          <w:tcPr>
            <w:tcW w:w="14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left"/>
              <w:rPr/>
            </w:pPr>
            <w:r>
              <w:rPr/>
              <w:t>  ​ ​ ​</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 (Level 3)</w:t>
            </w:r>
          </w:p>
        </w:tc>
      </w:tr>
      <w:tr>
        <w:trPr/>
        <w:tc>
          <w:tcPr>
            <w:tcW w:w="44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 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81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center"/>
              <w:rPr/>
            </w:pPr>
            <w:r>
              <w:rPr/>
              <w:t>​</w:t>
            </w:r>
          </w:p>
        </w:tc>
      </w:tr>
      <w:tr>
        <w:trPr/>
        <w:tc>
          <w:tcPr>
            <w:tcW w:w="44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securities with readily determinable fair value</w:t>
            </w:r>
          </w:p>
        </w:tc>
        <w:tc>
          <w:tcPr>
            <w:tcW w:w="346" w:type="dxa"/>
            <w:tcBorders/>
            <w:vAlign w:val="center"/>
          </w:tcPr>
          <w:p>
            <w:pPr>
              <w:pStyle w:val="TableContents"/>
              <w:bidi w:val="0"/>
              <w:spacing w:before="0" w:after="1"/>
              <w:ind w:left="0" w:right="0" w:hanging="0"/>
              <w:jc w:val="left"/>
              <w:rPr/>
            </w:pPr>
            <w:r>
              <w:rPr/>
              <w:t>​</w:t>
            </w:r>
          </w:p>
        </w:tc>
        <w:tc>
          <w:tcPr>
            <w:tcW w:w="18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pPr>
            <w:r>
              <w:rPr/>
              <w:t>—</w:t>
            </w:r>
          </w:p>
        </w:tc>
      </w:tr>
      <w:tr>
        <w:trPr/>
        <w:tc>
          <w:tcPr>
            <w:tcW w:w="44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 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8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pPr>
            <w:r>
              <w:rPr/>
              <w:t>​</w:t>
            </w:r>
          </w:p>
        </w:tc>
      </w:tr>
      <w:tr>
        <w:trPr/>
        <w:tc>
          <w:tcPr>
            <w:tcW w:w="44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debt securities</w:t>
            </w:r>
          </w:p>
        </w:tc>
        <w:tc>
          <w:tcPr>
            <w:tcW w:w="346" w:type="dxa"/>
            <w:tcBorders/>
            <w:vAlign w:val="center"/>
          </w:tcPr>
          <w:p>
            <w:pPr>
              <w:pStyle w:val="TableContents"/>
              <w:bidi w:val="0"/>
              <w:spacing w:before="0" w:after="1"/>
              <w:ind w:left="0" w:right="0" w:hanging="0"/>
              <w:jc w:val="left"/>
              <w:rPr/>
            </w:pPr>
            <w:r>
              <w:rPr/>
              <w:t> </w:t>
            </w:r>
          </w:p>
        </w:tc>
        <w:tc>
          <w:tcPr>
            <w:tcW w:w="18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4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44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benefit plan assets</w:t>
            </w:r>
          </w:p>
        </w:tc>
        <w:tc>
          <w:tcPr>
            <w:tcW w:w="346" w:type="dxa"/>
            <w:tcBorders/>
            <w:shd w:fill="CCEEFF" w:val="clear"/>
            <w:vAlign w:val="center"/>
          </w:tcPr>
          <w:p>
            <w:pPr>
              <w:pStyle w:val="TableContents"/>
              <w:bidi w:val="0"/>
              <w:spacing w:before="0" w:after="1"/>
              <w:ind w:left="0" w:right="0" w:hanging="0"/>
              <w:jc w:val="left"/>
              <w:rPr/>
            </w:pPr>
            <w:r>
              <w:rPr/>
              <w:t> </w:t>
            </w:r>
          </w:p>
        </w:tc>
        <w:tc>
          <w:tcPr>
            <w:tcW w:w="18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 </w:t>
            </w:r>
          </w:p>
        </w:tc>
        <w:tc>
          <w:tcPr>
            <w:tcW w:w="14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Equity securities with readily determinable fair value and employee benefit plan assets are valued using a market approach based on the quoted market prices or broker/dealer quotes of identical or comparable instruments.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Level 3 fair value of available-for-sale debt securities is determined based on market approach using various unobservable inputs. The determination of the fair value required significant judgement by management with respect to the assumptions and estimates for duration, dividend yield, lack of marketability discounts, expected volatility and probability in equity allocation.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assets are measured at a non-recurring basis. The following table presents the asset classification, the fair value and losses recognized for the year ended December 31, 2025 and for the six months ended June 30, 2026 due to impairment of the related assets.</w:t>
      </w:r>
    </w:p>
    <w:p>
      <w:pPr>
        <w:pStyle w:val="TextBody"/>
        <w:bidi w:val="0"/>
        <w:spacing w:before="0" w:after="0"/>
        <w:ind w:left="0" w:right="0" w:hanging="0"/>
        <w:jc w:val="left"/>
        <w:rPr/>
      </w:pPr>
      <w:r>
        <w:rPr/>
        <w:t>​</w:t>
      </w:r>
    </w:p>
    <w:tbl>
      <w:tblPr>
        <w:tblW w:w="8285" w:type="dxa"/>
        <w:jc w:val="left"/>
        <w:tblInd w:w="0" w:type="dxa"/>
        <w:tblLayout w:type="fixed"/>
        <w:tblCellMar>
          <w:top w:w="0" w:type="dxa"/>
          <w:left w:w="0" w:type="dxa"/>
          <w:bottom w:w="0" w:type="dxa"/>
          <w:right w:w="0" w:type="dxa"/>
        </w:tblCellMar>
      </w:tblPr>
      <w:tblGrid>
        <w:gridCol w:w="2881"/>
        <w:gridCol w:w="346"/>
        <w:gridCol w:w="886"/>
        <w:gridCol w:w="346"/>
        <w:gridCol w:w="1886"/>
        <w:gridCol w:w="595"/>
        <w:gridCol w:w="1345"/>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829435" cy="175260"/>
                      <wp:effectExtent l="0" t="0" r="0" b="0"/>
                      <wp:wrapNone/>
                      <wp:docPr id="60" name="Frame60"/>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62610" cy="175260"/>
                      <wp:effectExtent l="0" t="0" r="0" b="0"/>
                      <wp:wrapNone/>
                      <wp:docPr id="62" name="Frame6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197610" cy="175260"/>
                      <wp:effectExtent l="0" t="0" r="0" b="0"/>
                      <wp:wrapNone/>
                      <wp:docPr id="64" name="Frame64"/>
                      <a:graphic xmlns:a="http://schemas.openxmlformats.org/drawingml/2006/main">
                        <a:graphicData uri="http://schemas.microsoft.com/office/word/2010/wordprocessingShape">
                          <wps:wsp>
                            <wps:cNvSpPr txBox="1"/>
                            <wps:spPr>
                              <a:xfrm>
                                <a:off x="0" y="0"/>
                                <a:ext cx="1197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377825" cy="175260"/>
                      <wp:effectExtent l="0" t="0" r="0" b="0"/>
                      <wp:wrapNone/>
                      <wp:docPr id="65" name="Frame65"/>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854075" cy="175260"/>
                      <wp:effectExtent l="0" t="0" r="0" b="0"/>
                      <wp:wrapNone/>
                      <wp:docPr id="66" name="Frame66"/>
                      <a:graphic xmlns:a="http://schemas.openxmlformats.org/drawingml/2006/main">
                        <a:graphicData uri="http://schemas.microsoft.com/office/word/2010/wordprocessingShape">
                          <wps:wsp>
                            <wps:cNvSpPr txBox="1"/>
                            <wps:spPr>
                              <a:xfrm>
                                <a:off x="0" y="0"/>
                                <a:ext cx="854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of December 31, 2025</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826"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at Reporting Date Using</w:t>
            </w:r>
          </w:p>
        </w:tc>
      </w:tr>
      <w:tr>
        <w:trPr/>
        <w:tc>
          <w:tcPr>
            <w:tcW w:w="28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595" w:type="dxa"/>
            <w:tcBorders/>
            <w:vAlign w:val="center"/>
          </w:tcPr>
          <w:p>
            <w:pPr>
              <w:pStyle w:val="TableContents"/>
              <w:bidi w:val="0"/>
              <w:spacing w:before="0" w:after="1"/>
              <w:ind w:left="0" w:right="0" w:hanging="0"/>
              <w:jc w:val="center"/>
              <w:rPr/>
            </w:pPr>
            <w:r>
              <w:rPr/>
              <w:t>​</w:t>
            </w:r>
          </w:p>
        </w:tc>
        <w:tc>
          <w:tcPr>
            <w:tcW w:w="1345" w:type="dxa"/>
            <w:tcBorders/>
            <w:vAlign w:val="center"/>
          </w:tcPr>
          <w:p>
            <w:pPr>
              <w:pStyle w:val="TableContents"/>
              <w:bidi w:val="0"/>
              <w:spacing w:before="0" w:after="1"/>
              <w:ind w:left="0" w:right="0" w:hanging="0"/>
              <w:jc w:val="center"/>
              <w:rPr/>
            </w:pPr>
            <w:r>
              <w:rPr/>
              <w:t>​</w:t>
            </w:r>
          </w:p>
        </w:tc>
      </w:tr>
      <w:tr>
        <w:trPr/>
        <w:tc>
          <w:tcPr>
            <w:tcW w:w="28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595" w:type="dxa"/>
            <w:tcBorders/>
            <w:vAlign w:val="center"/>
          </w:tcPr>
          <w:p>
            <w:pPr>
              <w:pStyle w:val="TableContents"/>
              <w:bidi w:val="0"/>
              <w:spacing w:before="0" w:after="1"/>
              <w:ind w:left="0" w:right="0" w:hanging="0"/>
              <w:jc w:val="center"/>
              <w:rPr/>
            </w:pPr>
            <w:r>
              <w:rPr/>
              <w:t>​</w:t>
            </w:r>
          </w:p>
        </w:tc>
        <w:tc>
          <w:tcPr>
            <w:tcW w:w="134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8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595" w:type="dxa"/>
            <w:tcBorders/>
            <w:vAlign w:val="center"/>
          </w:tcPr>
          <w:p>
            <w:pPr>
              <w:pStyle w:val="TableContents"/>
              <w:bidi w:val="0"/>
              <w:spacing w:before="0" w:after="1"/>
              <w:ind w:left="0" w:right="0" w:hanging="0"/>
              <w:jc w:val="center"/>
              <w:rPr/>
            </w:pPr>
            <w:r>
              <w:rPr/>
              <w:t>​</w:t>
            </w:r>
          </w:p>
        </w:tc>
        <w:tc>
          <w:tcPr>
            <w:tcW w:w="134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 for</w:t>
            </w:r>
          </w:p>
        </w:tc>
      </w:tr>
      <w:tr>
        <w:trPr/>
        <w:tc>
          <w:tcPr>
            <w:tcW w:w="28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46" w:type="dxa"/>
            <w:tcBorders/>
            <w:vAlign w:val="center"/>
          </w:tcPr>
          <w:p>
            <w:pPr>
              <w:pStyle w:val="TableContents"/>
              <w:bidi w:val="0"/>
              <w:spacing w:before="0" w:after="1"/>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left"/>
              <w:rPr/>
            </w:pPr>
            <w:r>
              <w:rPr/>
              <w:t>  ​ ​ ​</w:t>
            </w:r>
          </w:p>
        </w:tc>
        <w:tc>
          <w:tcPr>
            <w:tcW w:w="1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595" w:type="dxa"/>
            <w:tcBorders/>
            <w:vAlign w:val="center"/>
          </w:tcPr>
          <w:p>
            <w:pPr>
              <w:pStyle w:val="TableContents"/>
              <w:bidi w:val="0"/>
              <w:spacing w:before="0" w:after="1"/>
              <w:ind w:left="0" w:right="0" w:hanging="0"/>
              <w:jc w:val="left"/>
              <w:rPr/>
            </w:pPr>
            <w:r>
              <w:rPr/>
              <w:t>  ​ ​ ​</w:t>
            </w:r>
          </w:p>
        </w:tc>
        <w:tc>
          <w:tcPr>
            <w:tcW w:w="134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the Year </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1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595" w:type="dxa"/>
            <w:tcBorders/>
            <w:shd w:fill="CCEEFF" w:val="clear"/>
            <w:vAlign w:val="center"/>
          </w:tcPr>
          <w:p>
            <w:pPr>
              <w:pStyle w:val="TableContents"/>
              <w:bidi w:val="0"/>
              <w:spacing w:before="0" w:after="1"/>
              <w:ind w:left="0" w:right="0" w:hanging="0"/>
              <w:jc w:val="left"/>
              <w:rPr/>
            </w:pPr>
            <w:r>
              <w:rPr/>
              <w:t>​</w:t>
            </w:r>
          </w:p>
        </w:tc>
        <w:tc>
          <w:tcPr>
            <w:tcW w:w="13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1"/>
              <w:ind w:left="0" w:right="0" w:hanging="0"/>
              <w:jc w:val="left"/>
              <w:rPr/>
            </w:pPr>
            <w:r>
              <w:rPr/>
              <w:t>​</w:t>
            </w:r>
          </w:p>
        </w:tc>
        <w:tc>
          <w:tcPr>
            <w:tcW w:w="1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595" w:type="dxa"/>
            <w:tcBorders/>
            <w:vAlign w:val="center"/>
          </w:tcPr>
          <w:p>
            <w:pPr>
              <w:pStyle w:val="TableContents"/>
              <w:bidi w:val="0"/>
              <w:spacing w:before="0" w:after="1"/>
              <w:ind w:left="0" w:right="0" w:hanging="0"/>
              <w:jc w:val="left"/>
              <w:rPr/>
            </w:pPr>
            <w:r>
              <w:rPr/>
              <w:t>​</w:t>
            </w:r>
          </w:p>
        </w:tc>
        <w:tc>
          <w:tcPr>
            <w:tcW w:w="13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use rights</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86" w:type="dxa"/>
            <w:tcBorders/>
            <w:shd w:fill="CCEEFF" w:val="clear"/>
            <w:vAlign w:val="center"/>
          </w:tcPr>
          <w:p>
            <w:pPr>
              <w:pStyle w:val="TableContents"/>
              <w:bidi w:val="0"/>
              <w:spacing w:before="0" w:after="1"/>
              <w:ind w:left="0" w:right="0" w:hanging="0"/>
              <w:jc w:val="right"/>
              <w:rPr/>
            </w:pPr>
            <w:r>
              <w:rPr/>
              <w:t>—</w:t>
            </w:r>
          </w:p>
        </w:tc>
        <w:tc>
          <w:tcPr>
            <w:tcW w:w="595" w:type="dxa"/>
            <w:tcBorders/>
            <w:shd w:fill="CCEEFF" w:val="clear"/>
            <w:vAlign w:val="center"/>
          </w:tcPr>
          <w:p>
            <w:pPr>
              <w:pStyle w:val="TableContents"/>
              <w:bidi w:val="0"/>
              <w:spacing w:before="0" w:after="1"/>
              <w:ind w:left="0" w:right="0" w:hanging="0"/>
              <w:jc w:val="left"/>
              <w:rPr/>
            </w:pPr>
            <w:r>
              <w:rPr/>
              <w:t>​</w:t>
            </w:r>
          </w:p>
        </w:tc>
        <w:tc>
          <w:tcPr>
            <w:tcW w:w="13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86" w:type="dxa"/>
            <w:tcBorders/>
            <w:vAlign w:val="center"/>
          </w:tcPr>
          <w:p>
            <w:pPr>
              <w:pStyle w:val="TableContents"/>
              <w:bidi w:val="0"/>
              <w:spacing w:before="0" w:after="1"/>
              <w:ind w:left="0" w:right="0" w:hanging="0"/>
              <w:jc w:val="right"/>
              <w:rPr/>
            </w:pPr>
            <w:r>
              <w:rPr/>
              <w:t>—</w:t>
            </w:r>
          </w:p>
        </w:tc>
        <w:tc>
          <w:tcPr>
            <w:tcW w:w="595" w:type="dxa"/>
            <w:tcBorders/>
            <w:vAlign w:val="center"/>
          </w:tcPr>
          <w:p>
            <w:pPr>
              <w:pStyle w:val="TableContents"/>
              <w:bidi w:val="0"/>
              <w:spacing w:before="0" w:after="1"/>
              <w:ind w:left="0" w:right="0" w:hanging="0"/>
              <w:jc w:val="left"/>
              <w:rPr/>
            </w:pPr>
            <w:r>
              <w:rPr/>
              <w:t>​</w:t>
            </w:r>
          </w:p>
        </w:tc>
        <w:tc>
          <w:tcPr>
            <w:tcW w:w="13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investment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shd w:fill="CCEEFF" w:val="clear"/>
            <w:vAlign w:val="center"/>
          </w:tcPr>
          <w:p>
            <w:pPr>
              <w:pStyle w:val="TableContents"/>
              <w:bidi w:val="0"/>
              <w:spacing w:before="0" w:after="1"/>
              <w:ind w:left="0" w:right="0" w:hanging="0"/>
              <w:jc w:val="left"/>
              <w:rPr/>
            </w:pPr>
            <w:r>
              <w:rPr/>
              <w:t>​</w:t>
            </w:r>
          </w:p>
        </w:tc>
        <w:tc>
          <w:tcPr>
            <w:tcW w:w="1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595" w:type="dxa"/>
            <w:tcBorders/>
            <w:shd w:fill="CCEEFF" w:val="clear"/>
            <w:vAlign w:val="center"/>
          </w:tcPr>
          <w:p>
            <w:pPr>
              <w:pStyle w:val="TableContents"/>
              <w:bidi w:val="0"/>
              <w:spacing w:before="0" w:after="1"/>
              <w:ind w:left="0" w:right="0" w:hanging="0"/>
              <w:jc w:val="left"/>
              <w:rPr/>
            </w:pPr>
            <w:r>
              <w:rPr/>
              <w:t>​</w:t>
            </w:r>
          </w:p>
        </w:tc>
        <w:tc>
          <w:tcPr>
            <w:tcW w:w="13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 held for sale</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w:t>
            </w:r>
          </w:p>
        </w:tc>
        <w:tc>
          <w:tcPr>
            <w:tcW w:w="346" w:type="dxa"/>
            <w:tcBorders/>
            <w:vAlign w:val="center"/>
          </w:tcPr>
          <w:p>
            <w:pPr>
              <w:pStyle w:val="TableContents"/>
              <w:bidi w:val="0"/>
              <w:spacing w:before="0" w:after="1"/>
              <w:ind w:left="0" w:right="0" w:hanging="0"/>
              <w:jc w:val="left"/>
              <w:rPr/>
            </w:pPr>
            <w:r>
              <w:rPr/>
              <w:t>​</w:t>
            </w:r>
          </w:p>
        </w:tc>
        <w:tc>
          <w:tcPr>
            <w:tcW w:w="1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w:t>
            </w:r>
          </w:p>
        </w:tc>
        <w:tc>
          <w:tcPr>
            <w:tcW w:w="595" w:type="dxa"/>
            <w:tcBorders/>
            <w:vAlign w:val="center"/>
          </w:tcPr>
          <w:p>
            <w:pPr>
              <w:pStyle w:val="TableContents"/>
              <w:bidi w:val="0"/>
              <w:spacing w:before="0" w:after="1"/>
              <w:ind w:left="0" w:right="0" w:hanging="0"/>
              <w:jc w:val="left"/>
              <w:rPr/>
            </w:pPr>
            <w:r>
              <w:rPr/>
              <w:t>​</w:t>
            </w:r>
          </w:p>
        </w:tc>
        <w:tc>
          <w:tcPr>
            <w:tcW w:w="1345"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w:t>
            </w:r>
          </w:p>
        </w:tc>
      </w:tr>
    </w:tbl>
    <w:p>
      <w:pPr>
        <w:pStyle w:val="TextBody"/>
        <w:bidi w:val="0"/>
        <w:spacing w:before="0" w:after="240"/>
        <w:ind w:left="0" w:right="0" w:hanging="0"/>
        <w:jc w:val="left"/>
        <w:rPr/>
      </w:pPr>
      <w:r>
        <w:rPr/>
        <w:t>​</w:t>
      </w:r>
    </w:p>
    <w:tbl>
      <w:tblPr>
        <w:tblW w:w="8285" w:type="dxa"/>
        <w:jc w:val="left"/>
        <w:tblInd w:w="0" w:type="dxa"/>
        <w:tblLayout w:type="fixed"/>
        <w:tblCellMar>
          <w:top w:w="0" w:type="dxa"/>
          <w:left w:w="0" w:type="dxa"/>
          <w:bottom w:w="0" w:type="dxa"/>
          <w:right w:w="0" w:type="dxa"/>
        </w:tblCellMar>
      </w:tblPr>
      <w:tblGrid>
        <w:gridCol w:w="2881"/>
        <w:gridCol w:w="346"/>
        <w:gridCol w:w="886"/>
        <w:gridCol w:w="346"/>
        <w:gridCol w:w="1925"/>
        <w:gridCol w:w="607"/>
        <w:gridCol w:w="1294"/>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829435" cy="175260"/>
                      <wp:effectExtent l="0" t="0" r="0" b="0"/>
                      <wp:wrapNone/>
                      <wp:docPr id="67" name="Frame67"/>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62610" cy="175260"/>
                      <wp:effectExtent l="0" t="0" r="0" b="0"/>
                      <wp:wrapNone/>
                      <wp:docPr id="69" name="Frame6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222375" cy="175260"/>
                      <wp:effectExtent l="0" t="0" r="0" b="0"/>
                      <wp:wrapNone/>
                      <wp:docPr id="71" name="Frame71"/>
                      <a:graphic xmlns:a="http://schemas.openxmlformats.org/drawingml/2006/main">
                        <a:graphicData uri="http://schemas.microsoft.com/office/word/2010/wordprocessingShape">
                          <wps:wsp>
                            <wps:cNvSpPr txBox="1"/>
                            <wps:spPr>
                              <a:xfrm>
                                <a:off x="0" y="0"/>
                                <a:ext cx="1222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385445" cy="175260"/>
                      <wp:effectExtent l="0" t="0" r="0" b="0"/>
                      <wp:wrapNone/>
                      <wp:docPr id="72" name="Frame72"/>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821690" cy="175260"/>
                      <wp:effectExtent l="0" t="0" r="0" b="0"/>
                      <wp:wrapNone/>
                      <wp:docPr id="73" name="Frame73"/>
                      <a:graphic xmlns:a="http://schemas.openxmlformats.org/drawingml/2006/main">
                        <a:graphicData uri="http://schemas.microsoft.com/office/word/2010/wordprocessingShape">
                          <wps:wsp>
                            <wps:cNvSpPr txBox="1"/>
                            <wps:spPr>
                              <a:xfrm>
                                <a:off x="0" y="0"/>
                                <a:ext cx="821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of June 30, 2026</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826"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at Reporting Date Using</w:t>
            </w:r>
          </w:p>
        </w:tc>
      </w:tr>
      <w:tr>
        <w:trPr/>
        <w:tc>
          <w:tcPr>
            <w:tcW w:w="28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2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607" w:type="dxa"/>
            <w:tcBorders/>
            <w:vAlign w:val="center"/>
          </w:tcPr>
          <w:p>
            <w:pPr>
              <w:pStyle w:val="TableContents"/>
              <w:bidi w:val="0"/>
              <w:spacing w:before="0" w:after="1"/>
              <w:ind w:left="0" w:right="0" w:hanging="0"/>
              <w:jc w:val="center"/>
              <w:rPr/>
            </w:pPr>
            <w:r>
              <w:rPr/>
              <w:t>​</w:t>
            </w:r>
          </w:p>
        </w:tc>
        <w:tc>
          <w:tcPr>
            <w:tcW w:w="129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8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2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607" w:type="dxa"/>
            <w:tcBorders/>
            <w:vAlign w:val="center"/>
          </w:tcPr>
          <w:p>
            <w:pPr>
              <w:pStyle w:val="TableContents"/>
              <w:bidi w:val="0"/>
              <w:spacing w:before="0" w:after="1"/>
              <w:ind w:left="0" w:right="0" w:hanging="0"/>
              <w:jc w:val="center"/>
              <w:rPr/>
            </w:pPr>
            <w:r>
              <w:rPr/>
              <w:t>​</w:t>
            </w:r>
          </w:p>
        </w:tc>
        <w:tc>
          <w:tcPr>
            <w:tcW w:w="129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 for</w:t>
            </w:r>
          </w:p>
        </w:tc>
      </w:tr>
      <w:tr>
        <w:trPr/>
        <w:tc>
          <w:tcPr>
            <w:tcW w:w="28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2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607" w:type="dxa"/>
            <w:tcBorders/>
            <w:vAlign w:val="center"/>
          </w:tcPr>
          <w:p>
            <w:pPr>
              <w:pStyle w:val="TableContents"/>
              <w:bidi w:val="0"/>
              <w:spacing w:before="0" w:after="1"/>
              <w:ind w:left="0" w:right="0" w:hanging="0"/>
              <w:jc w:val="center"/>
              <w:rPr/>
            </w:pPr>
            <w:r>
              <w:rPr/>
              <w:t>​</w:t>
            </w:r>
          </w:p>
        </w:tc>
        <w:tc>
          <w:tcPr>
            <w:tcW w:w="129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the Six Months</w:t>
            </w:r>
          </w:p>
        </w:tc>
      </w:tr>
      <w:tr>
        <w:trPr/>
        <w:tc>
          <w:tcPr>
            <w:tcW w:w="28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46" w:type="dxa"/>
            <w:tcBorders/>
            <w:vAlign w:val="center"/>
          </w:tcPr>
          <w:p>
            <w:pPr>
              <w:pStyle w:val="TableContents"/>
              <w:bidi w:val="0"/>
              <w:spacing w:before="0" w:after="1"/>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left"/>
              <w:rPr/>
            </w:pPr>
            <w:r>
              <w:rPr/>
              <w:t>  ​ ​ ​</w:t>
            </w:r>
          </w:p>
        </w:tc>
        <w:tc>
          <w:tcPr>
            <w:tcW w:w="192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607" w:type="dxa"/>
            <w:tcBorders/>
            <w:vAlign w:val="center"/>
          </w:tcPr>
          <w:p>
            <w:pPr>
              <w:pStyle w:val="TableContents"/>
              <w:bidi w:val="0"/>
              <w:spacing w:before="0" w:after="1"/>
              <w:ind w:left="0" w:right="0" w:hanging="0"/>
              <w:jc w:val="left"/>
              <w:rPr/>
            </w:pPr>
            <w:r>
              <w:rPr/>
              <w:t>  ​ ​ ​</w:t>
            </w:r>
          </w:p>
        </w:tc>
        <w:tc>
          <w:tcPr>
            <w:tcW w:w="129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19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607" w:type="dxa"/>
            <w:tcBorders/>
            <w:shd w:fill="CCEEFF" w:val="clear"/>
            <w:vAlign w:val="center"/>
          </w:tcPr>
          <w:p>
            <w:pPr>
              <w:pStyle w:val="TableContents"/>
              <w:bidi w:val="0"/>
              <w:spacing w:before="0" w:after="1"/>
              <w:ind w:left="0" w:right="0" w:hanging="0"/>
              <w:jc w:val="left"/>
              <w:rPr/>
            </w:pPr>
            <w:r>
              <w:rPr/>
              <w:t>​</w:t>
            </w:r>
          </w:p>
        </w:tc>
        <w:tc>
          <w:tcPr>
            <w:tcW w:w="12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1"/>
              <w:ind w:left="0" w:right="0" w:hanging="0"/>
              <w:jc w:val="left"/>
              <w:rPr/>
            </w:pPr>
            <w:r>
              <w:rPr/>
              <w:t>​</w:t>
            </w:r>
          </w:p>
        </w:tc>
        <w:tc>
          <w:tcPr>
            <w:tcW w:w="19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607" w:type="dxa"/>
            <w:tcBorders/>
            <w:vAlign w:val="center"/>
          </w:tcPr>
          <w:p>
            <w:pPr>
              <w:pStyle w:val="TableContents"/>
              <w:bidi w:val="0"/>
              <w:spacing w:before="0" w:after="1"/>
              <w:ind w:left="0" w:right="0" w:hanging="0"/>
              <w:jc w:val="left"/>
              <w:rPr/>
            </w:pPr>
            <w:r>
              <w:rPr/>
              <w:t>​</w:t>
            </w:r>
          </w:p>
        </w:tc>
        <w:tc>
          <w:tcPr>
            <w:tcW w:w="12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288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25" w:type="dxa"/>
            <w:tcBorders/>
            <w:shd w:fill="CCEEFF" w:val="clear"/>
            <w:vAlign w:val="center"/>
          </w:tcPr>
          <w:p>
            <w:pPr>
              <w:pStyle w:val="TableContents"/>
              <w:bidi w:val="0"/>
              <w:spacing w:before="0" w:after="1"/>
              <w:ind w:left="0" w:right="0" w:hanging="0"/>
              <w:jc w:val="right"/>
              <w:rPr/>
            </w:pPr>
            <w:r>
              <w:rPr/>
              <w:t>—</w:t>
            </w:r>
          </w:p>
        </w:tc>
        <w:tc>
          <w:tcPr>
            <w:tcW w:w="607" w:type="dxa"/>
            <w:tcBorders/>
            <w:shd w:fill="CCEEFF" w:val="clear"/>
            <w:vAlign w:val="center"/>
          </w:tcPr>
          <w:p>
            <w:pPr>
              <w:pStyle w:val="TableContents"/>
              <w:bidi w:val="0"/>
              <w:spacing w:before="0" w:after="1"/>
              <w:ind w:left="0" w:right="0" w:hanging="0"/>
              <w:jc w:val="left"/>
              <w:rPr/>
            </w:pPr>
            <w:r>
              <w:rPr/>
              <w:t>​</w:t>
            </w:r>
          </w:p>
        </w:tc>
        <w:tc>
          <w:tcPr>
            <w:tcW w:w="12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investment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vAlign w:val="center"/>
          </w:tcPr>
          <w:p>
            <w:pPr>
              <w:pStyle w:val="TableContents"/>
              <w:bidi w:val="0"/>
              <w:spacing w:before="0" w:after="1"/>
              <w:ind w:left="0" w:right="0" w:hanging="0"/>
              <w:jc w:val="left"/>
              <w:rPr/>
            </w:pPr>
            <w:r>
              <w:rPr/>
              <w:t>​</w:t>
            </w:r>
          </w:p>
        </w:tc>
        <w:tc>
          <w:tcPr>
            <w:tcW w:w="19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607" w:type="dxa"/>
            <w:tcBorders/>
            <w:vAlign w:val="center"/>
          </w:tcPr>
          <w:p>
            <w:pPr>
              <w:pStyle w:val="TableContents"/>
              <w:bidi w:val="0"/>
              <w:spacing w:before="0" w:after="1"/>
              <w:ind w:left="0" w:right="0" w:hanging="0"/>
              <w:jc w:val="left"/>
              <w:rPr/>
            </w:pPr>
            <w:r>
              <w:rPr/>
              <w:t>​</w:t>
            </w:r>
          </w:p>
        </w:tc>
        <w:tc>
          <w:tcPr>
            <w:tcW w:w="1294"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Share-based compensation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Group recognizes share-based compensation in the consolidated statements of comprehensive income based on the fair value of equity awards on the date of the grant, with compensation expenses recognized over the period in which the grantee is required to provide service to the Group in exchange for the equity award. Vesting of certain equity awards are based on the performance conditions for a period of time following the grant date. Share-based compensation expense is recognized according to the Group’s judgement of likely future performance and will be adjusted in future periods based on the actual performance.</w:t>
      </w:r>
    </w:p>
    <w:p>
      <w:pPr>
        <w:pStyle w:val="TextBody"/>
        <w:bidi w:val="0"/>
        <w:spacing w:before="0" w:after="240"/>
        <w:ind w:left="0" w:right="0" w:hanging="0"/>
        <w:jc w:val="left"/>
        <w:rPr/>
      </w:pPr>
      <w:r>
        <w:rPr/>
        <w:t>​</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Earnings per share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Basic earnings per share is computed by dividing income attributable to holders of ordinary shares by the weighted average number of ordinary shares outstanding during the period. Diluted earnings per share reflects the potential dilution that could occur if securities or other contracts to issue ordinary shares were exercised or converted into ordinary shares, which consist of the ordinary shares issuable upon the conversion of the convertible senior notes (using the if-converted method) and ordinary shares issuable upon the exercise of stock options and vest of nonvested restricted stocks (using the treasury stock method).</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Translation into United States Dollars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financial statements of the Group are stated in RMB. Translations of amounts from RMB into United States dollars are solely for the convenience of the reader and were calculated at the rate of US$1 = RMB6.7851, on June 30, 2026, as set forth in H.10 statistical release of the Federal Reserve Board. The translation is not intended to imply that the RMB amounts could have been, or could be, converted, realized or settled into United States dollars at that rate on June 30, 2026, or at any other rate.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35" w:name="Tc_U97RsQh_SUuBh5RGNsRowg_15_0"/>
      <w:bookmarkStart w:id="836" w:name="Tc_2-ku0Dic-EG1zNxhD1P4ww_14_0"/>
      <w:bookmarkStart w:id="837" w:name="Tc_syn1bTQ_EECTNcRIqkXwtw_13_0"/>
      <w:bookmarkStart w:id="838" w:name="Tc_gbSh8lkvAEeL2NK5Wdsifg_12_0"/>
      <w:bookmarkStart w:id="839" w:name="Tc_J8eiQt-MJUmO7t1avXyibg_11_0"/>
      <w:bookmarkStart w:id="840" w:name="Tc_ckV3oq92i0esaW9c_zAgkg_10_0"/>
      <w:bookmarkStart w:id="841" w:name="Tc_SUIkSlYRQkK0sUedcsa8mA_9_0"/>
      <w:bookmarkStart w:id="842" w:name="Tc_nOhazZoUi0ukw6eUPQ3VZg_8_0"/>
      <w:bookmarkStart w:id="843" w:name="Tc_9R2vvGVdh0S5o1QKuqMu_A_7_0"/>
      <w:bookmarkStart w:id="844" w:name="Tc_NFh5nCyK6UCyZ9s1cCnSWw_6_0"/>
      <w:bookmarkStart w:id="845" w:name="Tc_g1mC6EAgHkG0V9RQmaH8ww_5_0"/>
      <w:bookmarkStart w:id="846" w:name="Tc_K0bS_VxFjE2BVrHaatIKqw_4_0"/>
      <w:bookmarkStart w:id="847" w:name="Tc_hMpKCfiUEEOQxtXjxYJAEw_3_4"/>
      <w:bookmarkStart w:id="848" w:name="Tc_cbwXxjlBPUS1Fbt0AcDxHQ_3_2"/>
      <w:bookmarkStart w:id="849" w:name="Tc_X8IBYzDMQECvwwYZYovTGQ_2_2"/>
      <w:bookmarkStart w:id="850" w:name="Tc_mlxVY_wABEyHHODpxOMLJg_1_2"/>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r>
        <w:rPr>
          <w:rFonts w:ascii="Times New Roman;Times;serif" w:hAnsi="Times New Roman;Times;serif"/>
          <w:b/>
          <w:i w:val="false"/>
          <w:caps w:val="false"/>
          <w:smallCaps w:val="false"/>
          <w:sz w:val="20"/>
        </w:rPr>
        <w:t>3.</w:t>
      </w:r>
      <w:r>
        <w:rPr>
          <w:rFonts w:ascii="Times New Roman;Times;serif" w:hAnsi="Times New Roman;Times;serif"/>
          <w:b/>
          <w:sz w:val="20"/>
        </w:rPr>
        <w:t>REVENUE FROM CONTRACTS WITH CUSTOMERS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Disaggregated Revenues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tables present the Group’s revenues disaggregated by the nature of the product or service:</w:t>
      </w:r>
    </w:p>
    <w:p>
      <w:pPr>
        <w:pStyle w:val="TextBody"/>
        <w:bidi w:val="0"/>
        <w:spacing w:before="0" w:after="240"/>
        <w:ind w:left="0" w:right="0" w:firstLine="360"/>
        <w:jc w:val="both"/>
        <w:rPr/>
      </w:pPr>
      <w:r>
        <w:rPr/>
        <w:t>​</w:t>
      </w:r>
    </w:p>
    <w:tbl>
      <w:tblPr>
        <w:tblW w:w="8840" w:type="dxa"/>
        <w:jc w:val="left"/>
        <w:tblInd w:w="0" w:type="dxa"/>
        <w:tblLayout w:type="fixed"/>
        <w:tblCellMar>
          <w:top w:w="0" w:type="dxa"/>
          <w:left w:w="0" w:type="dxa"/>
          <w:bottom w:w="0" w:type="dxa"/>
          <w:right w:w="0" w:type="dxa"/>
        </w:tblCellMar>
      </w:tblPr>
      <w:tblGrid>
        <w:gridCol w:w="6691"/>
        <w:gridCol w:w="346"/>
        <w:gridCol w:w="676"/>
        <w:gridCol w:w="346"/>
        <w:gridCol w:w="781"/>
      </w:tblGrid>
      <w:tr>
        <w:trPr/>
        <w:tc>
          <w:tcPr>
            <w:tcW w:w="6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248785" cy="175260"/>
                      <wp:effectExtent l="0" t="0" r="0" b="0"/>
                      <wp:wrapNone/>
                      <wp:docPr id="74" name="Frame74"/>
                      <a:graphic xmlns:a="http://schemas.openxmlformats.org/drawingml/2006/main">
                        <a:graphicData uri="http://schemas.microsoft.com/office/word/2010/wordprocessingShape">
                          <wps:wsp>
                            <wps:cNvSpPr txBox="1"/>
                            <wps:spPr>
                              <a:xfrm>
                                <a:off x="0" y="0"/>
                                <a:ext cx="424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29260" cy="175260"/>
                      <wp:effectExtent l="0" t="0" r="0" b="0"/>
                      <wp:wrapNone/>
                      <wp:docPr id="76" name="Frame7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95935" cy="175260"/>
                      <wp:effectExtent l="0" t="0" r="0" b="0"/>
                      <wp:wrapNone/>
                      <wp:docPr id="78" name="Frame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80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6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80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66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Room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5,249</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5,072</w:t>
            </w:r>
          </w:p>
        </w:tc>
      </w:tr>
      <w:tr>
        <w:trPr/>
        <w:tc>
          <w:tcPr>
            <w:tcW w:w="66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Food and beverage revenues</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w:t>
            </w:r>
          </w:p>
        </w:tc>
      </w:tr>
      <w:tr>
        <w:trPr/>
        <w:tc>
          <w:tcPr>
            <w:tcW w:w="66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w:t>
            </w:r>
          </w:p>
        </w:tc>
      </w:tr>
      <w:tr>
        <w:trPr/>
        <w:tc>
          <w:tcPr>
            <w:tcW w:w="66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Leased and owned hotels revenues</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6,190</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5,983</w:t>
            </w:r>
          </w:p>
        </w:tc>
      </w:tr>
      <w:tr>
        <w:trPr/>
        <w:tc>
          <w:tcPr>
            <w:tcW w:w="66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Central reservation system usage fees, other system maintenance and support fees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1,931</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2,394</w:t>
            </w:r>
          </w:p>
        </w:tc>
      </w:tr>
      <w:tr>
        <w:trPr/>
        <w:tc>
          <w:tcPr>
            <w:tcW w:w="66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On-going management and service/royalty fees</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1,792</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2,147</w:t>
            </w:r>
          </w:p>
        </w:tc>
      </w:tr>
      <w:tr>
        <w:trPr/>
        <w:tc>
          <w:tcPr>
            <w:tcW w:w="66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Reimbursements for hotel manager fees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1,029</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1,275</w:t>
            </w:r>
          </w:p>
        </w:tc>
      </w:tr>
      <w:tr>
        <w:trPr/>
        <w:tc>
          <w:tcPr>
            <w:tcW w:w="66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Initial one-time license/franchise fee</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66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fees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696</w:t>
            </w:r>
          </w:p>
        </w:tc>
      </w:tr>
      <w:tr>
        <w:trPr/>
        <w:tc>
          <w:tcPr>
            <w:tcW w:w="66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Manachised and franchised hotels revenues</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5,364</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6,592</w:t>
            </w:r>
          </w:p>
        </w:tc>
      </w:tr>
      <w:tr>
        <w:trPr/>
        <w:tc>
          <w:tcPr>
            <w:tcW w:w="66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c>
          <w:tcPr>
            <w:tcW w:w="34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w:t>
            </w:r>
          </w:p>
        </w:tc>
      </w:tr>
      <w:tr>
        <w:trPr/>
        <w:tc>
          <w:tcPr>
            <w:tcW w:w="66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11,821</w:t>
            </w:r>
          </w:p>
        </w:tc>
        <w:tc>
          <w:tcPr>
            <w:tcW w:w="34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13,117</w:t>
            </w:r>
          </w:p>
        </w:tc>
      </w:tr>
    </w:tbl>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b/>
          <w:i/>
          <w:sz w:val="20"/>
        </w:rPr>
      </w:pPr>
      <w:bookmarkStart w:id="851" w:name="Tc_cdWi1Fuhb02XyaHXrxvm-Q_6_0"/>
      <w:bookmarkStart w:id="852" w:name="Tc_aD3OBgMBu0KiTuBNYP_CLQ_5_0"/>
      <w:bookmarkStart w:id="853" w:name="Tc_9lTaJ1ik_k6a1biDa5MKOA_4_0"/>
      <w:bookmarkStart w:id="854" w:name="Tc_iFhBHB7c7USQZvPIoHbkLw_3_4"/>
      <w:bookmarkStart w:id="855" w:name="Tc_1G6nXRFnjEm5JmFv1ZMTow_3_2"/>
      <w:bookmarkStart w:id="856" w:name="Tc_cui27xACLkmSZgbr4MzayA_2_4"/>
      <w:bookmarkStart w:id="857" w:name="Tc_MubzT87yt0qBQLPw9IF2hQ_2_2"/>
      <w:bookmarkStart w:id="858" w:name="Tc_SO-ESIiO40ye7TDnkTCKkQ_1_2"/>
      <w:bookmarkEnd w:id="851"/>
      <w:bookmarkEnd w:id="852"/>
      <w:bookmarkEnd w:id="853"/>
      <w:bookmarkEnd w:id="854"/>
      <w:bookmarkEnd w:id="855"/>
      <w:bookmarkEnd w:id="856"/>
      <w:bookmarkEnd w:id="857"/>
      <w:bookmarkEnd w:id="858"/>
      <w:r>
        <w:rPr>
          <w:rFonts w:ascii="Times New Roman;Times;serif" w:hAnsi="Times New Roman;Times;serif"/>
          <w:b/>
          <w:i/>
          <w:sz w:val="20"/>
        </w:rPr>
        <w:t>Contract Balances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Group’s contract assets are insignificant at December 31, 2025 and June 30, 2026.</w:t>
      </w:r>
    </w:p>
    <w:p>
      <w:pPr>
        <w:pStyle w:val="TextBody"/>
        <w:bidi w:val="0"/>
        <w:spacing w:before="0" w:after="240"/>
        <w:ind w:left="0" w:right="0" w:hanging="0"/>
        <w:jc w:val="left"/>
        <w:rPr/>
      </w:pPr>
      <w:r>
        <w:rPr/>
        <w:t>​</w:t>
      </w:r>
    </w:p>
    <w:tbl>
      <w:tblPr>
        <w:tblW w:w="5150" w:type="dxa"/>
        <w:jc w:val="left"/>
        <w:tblInd w:w="0" w:type="dxa"/>
        <w:tblLayout w:type="fixed"/>
        <w:tblCellMar>
          <w:top w:w="0" w:type="dxa"/>
          <w:left w:w="0" w:type="dxa"/>
          <w:bottom w:w="0" w:type="dxa"/>
          <w:right w:w="0" w:type="dxa"/>
        </w:tblCellMar>
      </w:tblPr>
      <w:tblGrid>
        <w:gridCol w:w="2506"/>
        <w:gridCol w:w="346"/>
        <w:gridCol w:w="1141"/>
        <w:gridCol w:w="346"/>
        <w:gridCol w:w="811"/>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591310" cy="175260"/>
                      <wp:effectExtent l="0" t="0" r="0" b="0"/>
                      <wp:wrapNone/>
                      <wp:docPr id="79" name="Frame79"/>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724535" cy="175260"/>
                      <wp:effectExtent l="0" t="0" r="0" b="0"/>
                      <wp:wrapNone/>
                      <wp:docPr id="81" name="Frame8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14985" cy="175260"/>
                      <wp:effectExtent l="0" t="0" r="0" b="0"/>
                      <wp:wrapNone/>
                      <wp:docPr id="83" name="Frame8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9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contract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1,823</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2,004</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contract liabilities</w:t>
            </w:r>
          </w:p>
        </w:tc>
        <w:tc>
          <w:tcPr>
            <w:tcW w:w="34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1,602</w:t>
            </w:r>
          </w:p>
        </w:tc>
        <w:tc>
          <w:tcPr>
            <w:tcW w:w="346" w:type="dxa"/>
            <w:tcBorders/>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1,674</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contract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3,425</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3,678</w:t>
            </w:r>
          </w:p>
        </w:tc>
      </w:tr>
    </w:tbl>
    <w:p>
      <w:pPr>
        <w:pStyle w:val="TextBody"/>
        <w:bidi w:val="0"/>
        <w:spacing w:before="0" w:after="24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contract liabilities balances above are classified as deferred revenue on the consolidated balance sheet, as of December 31, 2025 and June 30, 2026.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recognized revenues that were previously deferred as contract liabilities of RMB503 and RMB512 during the six months ended June 30, 2025 and 2026, respectively.</w:t>
      </w:r>
    </w:p>
    <w:p>
      <w:pPr>
        <w:pStyle w:val="TextBody"/>
        <w:bidi w:val="0"/>
        <w:spacing w:before="0" w:after="240"/>
        <w:ind w:left="0" w:right="0" w:firstLine="360"/>
        <w:jc w:val="both"/>
        <w:rPr/>
      </w:pPr>
      <w:r>
        <w:rPr/>
        <w:t>    ​</w:t>
      </w:r>
    </w:p>
    <w:p>
      <w:pPr>
        <w:pStyle w:val="TextBody"/>
        <w:bidi w:val="0"/>
        <w:spacing w:before="0" w:after="240"/>
        <w:ind w:left="0" w:right="0" w:hanging="0"/>
        <w:jc w:val="left"/>
        <w:rPr>
          <w:rFonts w:ascii="Times New Roman;Times;serif" w:hAnsi="Times New Roman;Times;serif"/>
          <w:b/>
          <w:sz w:val="20"/>
        </w:rPr>
      </w:pPr>
      <w:bookmarkStart w:id="859" w:name="Tc_TW_fWRBxd02SfaHES95l2g_13_0"/>
      <w:bookmarkStart w:id="860" w:name="Tc__eKYGtwC10erTqDbcFYi4g_12_0"/>
      <w:bookmarkStart w:id="861" w:name="Tc_X3VtUK1Y4EOOMbCZyLvRJA_10_0"/>
      <w:bookmarkStart w:id="862" w:name="Tc_B-GBaHOVjkuKjbr8W6LEYw_8_0"/>
      <w:bookmarkStart w:id="863" w:name="Tc_hxOYD7LPUkWy6SMHf0m0JQ_7_0"/>
      <w:bookmarkStart w:id="864" w:name="Tc_A4qr2QGgfk-IFVYd4h76mA_6_0"/>
      <w:bookmarkStart w:id="865" w:name="Tc_ATNKsidGD0Glw2DRg5Zdew_5_0"/>
      <w:bookmarkStart w:id="866" w:name="Tc_tfRnu2B8lE25CkBFVxR2Qg_4_0"/>
      <w:bookmarkStart w:id="867" w:name="Tc_QI4c5mXQ-EWtvDTRXyRT1w_3_4"/>
      <w:bookmarkStart w:id="868" w:name="Tc_9l3xbYc5Ski0icYsmnH_qw_3_2"/>
      <w:bookmarkStart w:id="869" w:name="Tc_p_zAqaAj1EOXdjKY6nViVA_2_4"/>
      <w:bookmarkStart w:id="870" w:name="Tc_ZrGu1sCrv0Wb4D3fSP5dsA_2_2"/>
      <w:bookmarkStart w:id="871" w:name="Tc_vq0m8PGxNUezF0h3oE8p_w_1_2"/>
      <w:bookmarkEnd w:id="859"/>
      <w:bookmarkEnd w:id="860"/>
      <w:bookmarkEnd w:id="861"/>
      <w:bookmarkEnd w:id="862"/>
      <w:bookmarkEnd w:id="863"/>
      <w:bookmarkEnd w:id="864"/>
      <w:bookmarkEnd w:id="865"/>
      <w:bookmarkEnd w:id="866"/>
      <w:bookmarkEnd w:id="867"/>
      <w:bookmarkEnd w:id="868"/>
      <w:bookmarkEnd w:id="869"/>
      <w:bookmarkEnd w:id="870"/>
      <w:bookmarkEnd w:id="871"/>
      <w:r>
        <w:rPr>
          <w:rFonts w:ascii="Times New Roman;Times;serif" w:hAnsi="Times New Roman;Times;serif"/>
          <w:b/>
          <w:i w:val="false"/>
          <w:caps w:val="false"/>
          <w:smallCaps w:val="false"/>
          <w:sz w:val="20"/>
        </w:rPr>
        <w:t>4.</w:t>
      </w:r>
      <w:r>
        <w:rPr>
          <w:rFonts w:ascii="Times New Roman;Times;serif" w:hAnsi="Times New Roman;Times;serif"/>
          <w:b/>
          <w:sz w:val="20"/>
        </w:rPr>
        <w:t>PROPERTY AND EQUIPMENT, NET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Property and equipment, net consist of the following:</w:t>
      </w:r>
    </w:p>
    <w:p>
      <w:pPr>
        <w:pStyle w:val="TextBody"/>
        <w:bidi w:val="0"/>
        <w:spacing w:before="0" w:after="240"/>
        <w:ind w:left="0" w:right="0" w:hanging="0"/>
        <w:jc w:val="left"/>
        <w:rPr/>
      </w:pPr>
      <w:r>
        <w:rPr/>
        <w:t>​</w:t>
      </w:r>
    </w:p>
    <w:tbl>
      <w:tblPr>
        <w:tblW w:w="5480" w:type="dxa"/>
        <w:jc w:val="left"/>
        <w:tblInd w:w="0" w:type="dxa"/>
        <w:tblLayout w:type="fixed"/>
        <w:tblCellMar>
          <w:top w:w="0" w:type="dxa"/>
          <w:left w:w="0" w:type="dxa"/>
          <w:bottom w:w="0" w:type="dxa"/>
          <w:right w:w="0" w:type="dxa"/>
        </w:tblCellMar>
      </w:tblPr>
      <w:tblGrid>
        <w:gridCol w:w="2836"/>
        <w:gridCol w:w="346"/>
        <w:gridCol w:w="1141"/>
        <w:gridCol w:w="346"/>
        <w:gridCol w:w="811"/>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800860" cy="175260"/>
                      <wp:effectExtent l="0" t="0" r="0" b="0"/>
                      <wp:wrapNone/>
                      <wp:docPr id="84" name="Frame84"/>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724535" cy="175260"/>
                      <wp:effectExtent l="0" t="0" r="0" b="0"/>
                      <wp:wrapNone/>
                      <wp:docPr id="86" name="Frame8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14985" cy="175260"/>
                      <wp:effectExtent l="0" t="0" r="0" b="0"/>
                      <wp:wrapNone/>
                      <wp:docPr id="88" name="Frame8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9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  ​</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10,872</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10,733</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fixtures and equipment</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2,490</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2,474</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Motor vehicles</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14,147</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13,946</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9,121</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9,178</w:t>
            </w:r>
          </w:p>
        </w:tc>
      </w:tr>
      <w:tr>
        <w:trPr/>
        <w:tc>
          <w:tcPr>
            <w:tcW w:w="2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5,026</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4,768</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5,230</w:t>
            </w:r>
          </w:p>
        </w:tc>
        <w:tc>
          <w:tcPr>
            <w:tcW w:w="346" w:type="dxa"/>
            <w:tcBorders/>
            <w:vAlign w:val="center"/>
          </w:tcPr>
          <w:p>
            <w:pPr>
              <w:pStyle w:val="TableContents"/>
              <w:bidi w:val="0"/>
              <w:spacing w:before="0" w:after="1"/>
              <w:ind w:left="0" w:right="0" w:hanging="0"/>
              <w:jc w:val="left"/>
              <w:rPr/>
            </w:pPr>
            <w:r>
              <w:rPr/>
              <w:t> </w:t>
            </w:r>
          </w:p>
        </w:tc>
        <w:tc>
          <w:tcPr>
            <w:tcW w:w="81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4,989</w:t>
            </w:r>
          </w:p>
        </w:tc>
      </w:tr>
    </w:tbl>
    <w:p>
      <w:pPr>
        <w:pStyle w:val="TextBody"/>
        <w:bidi w:val="0"/>
        <w:spacing w:before="0" w:after="24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expense was RMB564 and RMB532 for the six months ended June 30, 2025 and 2026,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72" w:name="Tc_E-JOORcfDEKQ0S6q2CgzGQ_9_0"/>
      <w:bookmarkStart w:id="873" w:name="Tc_sJ3sZm4v50-BYGWDL-VK0Q_8_0"/>
      <w:bookmarkStart w:id="874" w:name="Tc_oWPhVbASQ0-5fi5Sy5SbQg_7_0"/>
      <w:bookmarkStart w:id="875" w:name="Tc_NrtLsAdthEm6UJCEjLMG6g_6_0"/>
      <w:bookmarkStart w:id="876" w:name="Tc_zSrAvaTE8EmabgMtG2rwLQ_5_0"/>
      <w:bookmarkStart w:id="877" w:name="Tc_UtlP4dq4pkK9YBDG2OT-aw_4_0"/>
      <w:bookmarkStart w:id="878" w:name="Tc_cHzMN_qzlkGSKZEh6cJwtA_3_0"/>
      <w:bookmarkStart w:id="879" w:name="Tc_oByXrfIg0UGErZfyetxEPA_2_2"/>
      <w:bookmarkStart w:id="880" w:name="Tc_MxK5-Vp3dkK2OnL3XE9sfQ_1_2"/>
      <w:bookmarkStart w:id="881" w:name="_6e64445d_b547_42b3_bd0f_d97edcc1af92_3"/>
      <w:bookmarkStart w:id="882" w:name="_6e64445d_b547_42b3_bd0f_d97edcc1af92_2"/>
      <w:bookmarkStart w:id="883" w:name="_6e64445d_b547_42b3_bd0f_d97edcc1af92"/>
      <w:bookmarkStart w:id="884" w:name="Tc_P1My7dbcmU2R_oZLoERUfg_14_0"/>
      <w:bookmarkStart w:id="885" w:name="Tc_4ylzQXDfqEGaweuOphlQvQ_13_0"/>
      <w:bookmarkStart w:id="886" w:name="Tc__PQc_r8UAUepHrCRFq_Pbg_12_0"/>
      <w:bookmarkStart w:id="887" w:name="Tc_QF-7OiSZNk2CygPQE4ZSVg_11_0"/>
      <w:bookmarkStart w:id="888" w:name="Tc_rtmSFb1p9Eup8EUw76kS7g_10_0"/>
      <w:bookmarkStart w:id="889" w:name="Tc_GAnoQ_6lok65z4wyGtJJlw_9_0"/>
      <w:bookmarkStart w:id="890" w:name="Tc_tB-L-ghiD0SMWQmRvYlkoQ_8_0"/>
      <w:bookmarkStart w:id="891" w:name="Tc_lIKedl9gEkqdj6upHj6wBQ_7_0"/>
      <w:bookmarkStart w:id="892" w:name="Tc_bn_gMlH5GkKkMnRyGsAkCA_6_0"/>
      <w:bookmarkStart w:id="893" w:name="Tc_degvR5qKwUKWbS_iIV1tfA_5_0"/>
      <w:bookmarkStart w:id="894" w:name="Tc_BIMHeD1I8Eedz-7m4PqgZQ_4_0"/>
      <w:bookmarkStart w:id="895" w:name="Tc_EvysW5TTFU6W5TChAs8c9g_3_4"/>
      <w:bookmarkStart w:id="896" w:name="Tc_6ZysW79a_kOJ8qlFkMMXpQ_3_2"/>
      <w:bookmarkStart w:id="897" w:name="Tc_PP5Tnu27n0u75yTEXbVyGQ_2_4"/>
      <w:bookmarkStart w:id="898" w:name="Tc_3YZ7Fs7VBEC0YVtUgHodCw_2_2"/>
      <w:bookmarkStart w:id="899" w:name="Tc_j0FL_igAQkqahSjN5rMzGA_1_2"/>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r>
        <w:rPr>
          <w:rFonts w:ascii="Times New Roman;Times;serif" w:hAnsi="Times New Roman;Times;serif"/>
          <w:b/>
          <w:i w:val="false"/>
          <w:caps w:val="false"/>
          <w:smallCaps w:val="false"/>
          <w:sz w:val="20"/>
        </w:rPr>
        <w:t>5.</w:t>
      </w:r>
      <w:r>
        <w:rPr>
          <w:rFonts w:ascii="Times New Roman;Times;serif" w:hAnsi="Times New Roman;Times;serif"/>
          <w:b/>
          <w:sz w:val="20"/>
        </w:rPr>
        <w:t>INTANGIBLE ASSETS, NET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Intangible assets, net consist of the following:</w:t>
      </w:r>
    </w:p>
    <w:p>
      <w:pPr>
        <w:pStyle w:val="TextBody"/>
        <w:bidi w:val="0"/>
        <w:spacing w:before="0" w:after="240"/>
        <w:ind w:left="0" w:right="0" w:hanging="0"/>
        <w:jc w:val="left"/>
        <w:rPr/>
      </w:pPr>
      <w:r>
        <w:rPr/>
        <w:t>​</w:t>
      </w:r>
    </w:p>
    <w:tbl>
      <w:tblPr>
        <w:tblW w:w="5870" w:type="dxa"/>
        <w:jc w:val="left"/>
        <w:tblInd w:w="0" w:type="dxa"/>
        <w:tblLayout w:type="fixed"/>
        <w:tblCellMar>
          <w:top w:w="0" w:type="dxa"/>
          <w:left w:w="0" w:type="dxa"/>
          <w:bottom w:w="0" w:type="dxa"/>
          <w:right w:w="0" w:type="dxa"/>
        </w:tblCellMar>
      </w:tblPr>
      <w:tblGrid>
        <w:gridCol w:w="3226"/>
        <w:gridCol w:w="346"/>
        <w:gridCol w:w="1141"/>
        <w:gridCol w:w="346"/>
        <w:gridCol w:w="811"/>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48510" cy="175260"/>
                      <wp:effectExtent l="0" t="0" r="0" b="0"/>
                      <wp:wrapNone/>
                      <wp:docPr id="89" name="Frame89"/>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724535" cy="175260"/>
                      <wp:effectExtent l="0" t="0" r="0" b="0"/>
                      <wp:wrapNone/>
                      <wp:docPr id="91" name="Frame9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14985" cy="175260"/>
                      <wp:effectExtent l="0" t="0" r="0" b="0"/>
                      <wp:wrapNone/>
                      <wp:docPr id="93" name="Frame9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9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2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Intangible assets with indefinite lives:</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  ​</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Brand names</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5,593</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5,359</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Master brand agreement</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Intangible assets with finite lives:</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left"/>
              <w:rPr/>
            </w:pPr>
            <w:r>
              <w:rPr/>
              <w:t>​</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or manachise agreements</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Purchased software</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intangible assets</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6,269</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6,012</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r>
      <w:tr>
        <w:trPr/>
        <w:tc>
          <w:tcPr>
            <w:tcW w:w="32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impairment loss</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w:t>
            </w:r>
          </w:p>
        </w:tc>
        <w:tc>
          <w:tcPr>
            <w:tcW w:w="346" w:type="dxa"/>
            <w:tcBorders/>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w:t>
            </w:r>
          </w:p>
        </w:tc>
      </w:tr>
      <w:tr>
        <w:trPr/>
        <w:tc>
          <w:tcPr>
            <w:tcW w:w="3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5,028</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4,821</w:t>
            </w:r>
          </w:p>
        </w:tc>
      </w:tr>
    </w:tbl>
    <w:p>
      <w:pPr>
        <w:pStyle w:val="TextBody"/>
        <w:bidi w:val="0"/>
        <w:spacing w:before="0" w:after="24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Amortization expense of intangible assets for the six months ended June 30, 2025 and 2026 amounted to RMB21 and RMB18,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3 brand names with indefinite lives acquired in DH acquisition. No impairment was recognized on these brand names for the six months ended June 2025 and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annual estimated amortization expense for the above intangible assets excluding brand names and master brand agreement for the following years is as follows:</w:t>
      </w:r>
    </w:p>
    <w:p>
      <w:pPr>
        <w:pStyle w:val="TextBody"/>
        <w:bidi w:val="0"/>
        <w:spacing w:before="0" w:after="0"/>
        <w:ind w:left="0" w:right="0" w:hanging="0"/>
        <w:jc w:val="left"/>
        <w:rPr/>
      </w:pPr>
      <w:r>
        <w:rPr/>
        <w:t>​</w:t>
      </w:r>
    </w:p>
    <w:tbl>
      <w:tblPr>
        <w:tblW w:w="3423" w:type="dxa"/>
        <w:jc w:val="left"/>
        <w:tblInd w:w="0" w:type="dxa"/>
        <w:tblLayout w:type="fixed"/>
        <w:tblCellMar>
          <w:top w:w="0" w:type="dxa"/>
          <w:left w:w="0" w:type="dxa"/>
          <w:bottom w:w="0" w:type="dxa"/>
          <w:right w:w="0" w:type="dxa"/>
        </w:tblCellMar>
      </w:tblPr>
      <w:tblGrid>
        <w:gridCol w:w="1681"/>
        <w:gridCol w:w="346"/>
        <w:gridCol w:w="1396"/>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067435" cy="175260"/>
                      <wp:effectExtent l="0" t="0" r="0" b="0"/>
                      <wp:wrapNone/>
                      <wp:docPr id="94" name="Frame94"/>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886460" cy="175260"/>
                      <wp:effectExtent l="0" t="0" r="0" b="0"/>
                      <wp:wrapNone/>
                      <wp:docPr id="96" name="Frame96"/>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 for</w: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Intangible Assets</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 </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 </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 </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13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00" w:name="Tc_kfyPh7aDbkm_J-qkM5YZ-Q_22_0"/>
      <w:bookmarkStart w:id="901" w:name="Tc_KOlqKZ_B10qH3yBykA4-7Q_21_0"/>
      <w:bookmarkStart w:id="902" w:name="Tc_TTQML5uhXEee2Ml0Z4dsuw_20_0"/>
      <w:bookmarkStart w:id="903" w:name="Tc_jgJ31lHZG0GTgIrEH6bQOg_19_0"/>
      <w:bookmarkStart w:id="904" w:name="Tc_NJETa2JC-UytBMWuzL0l4g_18_0"/>
      <w:bookmarkStart w:id="905" w:name="Tc_AAKIjRGS9UWt362tlXkEKw_17_0"/>
      <w:bookmarkStart w:id="906" w:name="Tc_UvRyxkhnDk2HgLGRLxJCZg_16_0"/>
      <w:bookmarkStart w:id="907" w:name="Tc_u418KMHg4E6Mm3KQNM5TIQ_15_0"/>
      <w:bookmarkStart w:id="908" w:name="Tc_AtaCUftXA0a_UF_EPmMR_A_14_0"/>
      <w:bookmarkStart w:id="909" w:name="Tc_-UbsjYs0kUK50gzoIcDcrA_13_0"/>
      <w:bookmarkStart w:id="910" w:name="Tc_6R4obEf7Yk63sqpCDJyQbw_12_0"/>
      <w:bookmarkStart w:id="911" w:name="Tc_lqGX394RRUuL-I5RZDNRYw_11_0"/>
      <w:bookmarkStart w:id="912" w:name="Tc_kcRwOYnOt0-NVhbSJah19g_9_0"/>
      <w:bookmarkStart w:id="913" w:name="Tc_klom7A3VzU6G8-j5H35i8w_8_0"/>
      <w:bookmarkStart w:id="914" w:name="Tc_m0G6malvBkSH0h4juZHgXA_7_0"/>
      <w:bookmarkStart w:id="915" w:name="Tc_XWs3gxezukaa3PmGDaE3DA_6_0"/>
      <w:bookmarkStart w:id="916" w:name="Tc_4EyQeCUDI0auu7dOekAIdA_5_0"/>
      <w:bookmarkStart w:id="917" w:name="Tc_k1nR12YU1kuIa3FyHgWyEw_4_0"/>
      <w:bookmarkStart w:id="918" w:name="Tc_SBSvBZSPJEWb2Di8quZAxg_3_4"/>
      <w:bookmarkStart w:id="919" w:name="Tc_yeueoO9epkusMhtGjv58NA_3_2"/>
      <w:bookmarkStart w:id="920" w:name="Tc_Os1XPE8-30ioy--GQEhYPw_2_4"/>
      <w:bookmarkStart w:id="921" w:name="Tc_5-nw4-WU_USOgYg2_dIt7Q_2_2"/>
      <w:bookmarkStart w:id="922" w:name="Tc_KpIsWaYMl0C81RdZxIYzGQ_1_2"/>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r>
        <w:rPr>
          <w:rFonts w:ascii="Times New Roman;Times;serif" w:hAnsi="Times New Roman;Times;serif"/>
          <w:b/>
          <w:i w:val="false"/>
          <w:caps w:val="false"/>
          <w:smallCaps w:val="false"/>
          <w:sz w:val="20"/>
        </w:rPr>
        <w:t>6.</w:t>
      </w:r>
      <w:r>
        <w:rPr>
          <w:rFonts w:ascii="Times New Roman;Times;serif" w:hAnsi="Times New Roman;Times;serif"/>
          <w:b/>
          <w:sz w:val="20"/>
        </w:rPr>
        <w:t>INVESTMENTS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investments as of December 31, 2025 and June 30, 2026 were as follows:</w:t>
      </w:r>
    </w:p>
    <w:p>
      <w:pPr>
        <w:pStyle w:val="TextBody"/>
        <w:bidi w:val="0"/>
        <w:spacing w:before="0" w:after="240"/>
        <w:ind w:left="0" w:right="0" w:hanging="0"/>
        <w:jc w:val="left"/>
        <w:rPr/>
      </w:pPr>
      <w:r>
        <w:rPr/>
        <w:t>​</w:t>
      </w:r>
    </w:p>
    <w:tbl>
      <w:tblPr>
        <w:tblW w:w="7565" w:type="dxa"/>
        <w:jc w:val="left"/>
        <w:tblInd w:w="0" w:type="dxa"/>
        <w:tblLayout w:type="fixed"/>
        <w:tblCellMar>
          <w:top w:w="0" w:type="dxa"/>
          <w:left w:w="0" w:type="dxa"/>
          <w:bottom w:w="0" w:type="dxa"/>
          <w:right w:w="0" w:type="dxa"/>
        </w:tblCellMar>
      </w:tblPr>
      <w:tblGrid>
        <w:gridCol w:w="4921"/>
        <w:gridCol w:w="346"/>
        <w:gridCol w:w="1141"/>
        <w:gridCol w:w="346"/>
        <w:gridCol w:w="811"/>
      </w:tblGrid>
      <w:tr>
        <w:trPr/>
        <w:tc>
          <w:tcPr>
            <w:tcW w:w="4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3124835" cy="175260"/>
                      <wp:effectExtent l="0" t="0" r="0" b="0"/>
                      <wp:wrapNone/>
                      <wp:docPr id="97" name="Frame97"/>
                      <a:graphic xmlns:a="http://schemas.openxmlformats.org/drawingml/2006/main">
                        <a:graphicData uri="http://schemas.microsoft.com/office/word/2010/wordprocessingShape">
                          <wps:wsp>
                            <wps:cNvSpPr txBox="1"/>
                            <wps:spPr>
                              <a:xfrm>
                                <a:off x="0" y="0"/>
                                <a:ext cx="312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724535" cy="175260"/>
                      <wp:effectExtent l="0" t="0" r="0" b="0"/>
                      <wp:wrapNone/>
                      <wp:docPr id="99" name="Frame9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14985" cy="175260"/>
                      <wp:effectExtent l="0" t="0" r="0" b="0"/>
                      <wp:wrapNone/>
                      <wp:docPr id="101" name="Frame10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4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center"/>
              <w:rPr/>
            </w:pPr>
            <w:r>
              <w:rPr/>
              <w:t>​</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Equity securities with readily determinable fair values:</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  ​</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Held to maturity investments</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time deposits and financial products</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4,825</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1,258</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4,894</w:t>
            </w:r>
          </w:p>
        </w:tc>
        <w:tc>
          <w:tcPr>
            <w:tcW w:w="346" w:type="dxa"/>
            <w:tcBorders/>
            <w:vAlign w:val="center"/>
          </w:tcPr>
          <w:p>
            <w:pPr>
              <w:pStyle w:val="TableContents"/>
              <w:bidi w:val="0"/>
              <w:spacing w:before="0" w:after="0"/>
              <w:ind w:left="0" w:right="0" w:hanging="0"/>
              <w:jc w:val="left"/>
              <w:rPr/>
            </w:pPr>
            <w:r>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r>
      <w:tr>
        <w:trPr/>
        <w:tc>
          <w:tcPr>
            <w:tcW w:w="49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Long-term investments</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Equity securities without readily determinable fair values:</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Equity-method investments:</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left"/>
              <w:rPr/>
            </w:pPr>
            <w:r>
              <w:rPr/>
              <w:t>​</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AAPC LUB</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Hotel related funds</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investments</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w:t>
            </w:r>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Available-for-sale debt securities:</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left"/>
              <w:rPr/>
            </w:pPr>
            <w:r>
              <w:rPr/>
              <w:t>​</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Cjia Group-convertible notes</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Held to maturity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time deposits</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1,352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ASSETS AND LIABILITIES HELD FOR SALE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fourth quarter of 2023, the Group committed to a plan to sell certain lease-and-owned hotels (the “disposal group”) included in HWI. In February 2024, the Group entered into a Share and Asset Purchase and Transfer Agreement with an unaffiliated third party, and the transaction was expected to be closed in 2024, subject to certain customary closing conditions. According with the amendment signed in early 2025, two tranches were successively completed in 2025. As of December 31, 2025, further negotiations for the residual tranche were anticipated in 2026, with the Group’s ongoing commitment to advancing the disposal. Given the progress as of June 30, 2026, the remaining disposal group no longer met the criteria for classification as held for sale, and its assets and liabilities were reclassified as held for use on the balance sheet as of June 30,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year ended December 31, 2025, impairment of RMB13 was recorded as the fair value of certain assets fell below their carrying value.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923" w:name="Tc_MzFdH28GD06pbFboHQdfbA_16_0"/>
      <w:bookmarkStart w:id="924" w:name="Tc_6q4eXXuV-USxk5e9Hx8G0A_15_0"/>
      <w:bookmarkStart w:id="925" w:name="Tc_NQ-XLZmfA0qeaLV4ROTNUg_14_0"/>
      <w:bookmarkStart w:id="926" w:name="Tc_wkwnLYuKP0e-4lf3MdyQDQ_13_0"/>
      <w:bookmarkStart w:id="927" w:name="Tc_eBZtqBS-CE-EKL5WpLxuEw_12_0"/>
      <w:bookmarkStart w:id="928" w:name="Tc_Gt8Bxzpx8E69o9vvnHKwjw_11_0"/>
      <w:bookmarkStart w:id="929" w:name="Tc_jz-lzaYPzEmWm0WI7-vvvA_10_0"/>
      <w:bookmarkStart w:id="930" w:name="Tc_VXVZ0BVzi0m-PIUae3juwQ_8_0"/>
      <w:bookmarkStart w:id="931" w:name="Tc_oegzydxOLkmDc29q6foLUw_7_0"/>
      <w:bookmarkStart w:id="932" w:name="Tc_IZXRuCc1YEqXUuzrj15t6w_6_0"/>
      <w:bookmarkStart w:id="933" w:name="Tc_4H9bL6JyFE-wGh1P0o6KkQ_5_0"/>
      <w:bookmarkStart w:id="934" w:name="Tc_99DbYn01N06YNon8zcnhdQ_4_0"/>
      <w:bookmarkStart w:id="935" w:name="Tc__iaezLfmpkmBrfcGjK7MJA_3_0"/>
      <w:bookmarkStart w:id="936" w:name="Tc_kPxdHl287U2I-tSWjo5n7w_2_2"/>
      <w:bookmarkStart w:id="937" w:name="Tc_D8DVMliHWEWSLmDCajwWmQ_1_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r>
        <w:rPr>
          <w:rFonts w:ascii="Times New Roman;Times;serif" w:hAnsi="Times New Roman;Times;serif"/>
          <w:sz w:val="20"/>
        </w:rPr>
        <w:t>The total assets and liabilities of the disposal group that were classified as held for sale on the Group’s consolidated balance sheet as of December 31, 2025 were as follows:</w:t>
      </w:r>
    </w:p>
    <w:p>
      <w:pPr>
        <w:pStyle w:val="TextBody"/>
        <w:bidi w:val="0"/>
        <w:spacing w:before="0" w:after="0"/>
        <w:ind w:left="0" w:right="0" w:hanging="0"/>
        <w:jc w:val="left"/>
        <w:rPr/>
      </w:pPr>
      <w:r>
        <w:rPr/>
        <w:t>​</w:t>
      </w:r>
    </w:p>
    <w:tbl>
      <w:tblPr>
        <w:tblW w:w="5463" w:type="dxa"/>
        <w:jc w:val="left"/>
        <w:tblInd w:w="0" w:type="dxa"/>
        <w:tblLayout w:type="fixed"/>
        <w:tblCellMar>
          <w:top w:w="0" w:type="dxa"/>
          <w:left w:w="0" w:type="dxa"/>
          <w:bottom w:w="0" w:type="dxa"/>
          <w:right w:w="0" w:type="dxa"/>
        </w:tblCellMar>
      </w:tblPr>
      <w:tblGrid>
        <w:gridCol w:w="3826"/>
        <w:gridCol w:w="346"/>
        <w:gridCol w:w="1291"/>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429510" cy="175260"/>
                      <wp:effectExtent l="0" t="0" r="0" b="0"/>
                      <wp:wrapNone/>
                      <wp:docPr id="102" name="Frame102"/>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819785" cy="175260"/>
                      <wp:effectExtent l="0" t="0" r="0" b="0"/>
                      <wp:wrapNone/>
                      <wp:docPr id="104" name="Frame104"/>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w:t>
            </w:r>
          </w:p>
        </w:tc>
      </w:tr>
      <w:tr>
        <w:trPr/>
        <w:tc>
          <w:tcPr>
            <w:tcW w:w="3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31, 2025</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Assets held for sale:</w:t>
            </w:r>
          </w:p>
        </w:tc>
        <w:tc>
          <w:tcPr>
            <w:tcW w:w="346"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pPr>
            <w:r>
              <w:rPr/>
              <w:t>​</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right-of-use assets</w:t>
            </w:r>
          </w:p>
        </w:tc>
        <w:tc>
          <w:tcPr>
            <w:tcW w:w="34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 </w:t>
            </w:r>
          </w:p>
        </w:tc>
        <w:tc>
          <w:tcPr>
            <w:tcW w:w="12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12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w:t>
            </w:r>
          </w:p>
        </w:tc>
      </w:tr>
      <w:tr>
        <w:trPr/>
        <w:tc>
          <w:tcPr>
            <w:tcW w:w="3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pPr>
            <w:r>
              <w:rPr/>
              <w:t>​</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Liabilities held for sale:</w:t>
            </w:r>
          </w:p>
        </w:tc>
        <w:tc>
          <w:tcPr>
            <w:tcW w:w="34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pPr>
            <w:r>
              <w:rPr/>
              <w:t>  ​</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current</w:t>
            </w:r>
          </w:p>
        </w:tc>
        <w:tc>
          <w:tcPr>
            <w:tcW w:w="34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non-current</w:t>
            </w:r>
          </w:p>
        </w:tc>
        <w:tc>
          <w:tcPr>
            <w:tcW w:w="34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liabilities</w:t>
            </w:r>
          </w:p>
        </w:tc>
        <w:tc>
          <w:tcPr>
            <w:tcW w:w="34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12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 </w:t>
            </w:r>
          </w:p>
        </w:tc>
        <w:tc>
          <w:tcPr>
            <w:tcW w:w="129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671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38" w:name="Tc_iPCq_4SggEutwAvM4IxIoA_15_0"/>
      <w:bookmarkStart w:id="939" w:name="Tc_mIroapO7DUeEIp_A9gX3CA_14_0"/>
      <w:bookmarkStart w:id="940" w:name="Tc_9-O4tkKfckSj02Pe_wMaBg_13_0"/>
      <w:bookmarkStart w:id="941" w:name="Tc_ca9R-PxQzk2Oj8f4kkKM5w_12_0"/>
      <w:bookmarkStart w:id="942" w:name="Tc_8JPH6aTnvkCv1uWdTwUqtw_11_0"/>
      <w:bookmarkStart w:id="943" w:name="Tc_e7IbVERY30-t30UtsAH37w_9_0"/>
      <w:bookmarkStart w:id="944" w:name="Tc_OvrXotJ_kUCfajWkdZfbbg_8_0"/>
      <w:bookmarkStart w:id="945" w:name="Tc_hvma6frsN0uXwRkIrI57Tw_7_4"/>
      <w:bookmarkStart w:id="946" w:name="Tc_pGYj-0iVjEWyzGbBV0lPrA_7_0"/>
      <w:bookmarkStart w:id="947" w:name="Tc_feAFGbJxzkuRE_vuAtyl2Q_6_0"/>
      <w:bookmarkStart w:id="948" w:name="Tc_H3PMWccTKE-N7UIxTZhiWg_5_0"/>
      <w:bookmarkStart w:id="949" w:name="Tc_ekpKGqFHxUynTkdpYylh9A_4_0"/>
      <w:bookmarkStart w:id="950" w:name="Tc_N98PcS5OWkeSuLgf2t8wTQ_3_4"/>
      <w:bookmarkStart w:id="951" w:name="Tc_EXhxf47lFUieiAjuMQpPcQ_3_2"/>
      <w:bookmarkStart w:id="952" w:name="Tc_BFVOMcoKmkmgLC15HpZD3A_2_4"/>
      <w:bookmarkStart w:id="953" w:name="Tc_n_i9x_WUe0-8zLSQWyrJsw_2_2"/>
      <w:bookmarkStart w:id="954" w:name="Tc_0_itkklO-kOiOgWjOwt-zA_1_2"/>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r>
        <w:rPr>
          <w:rFonts w:ascii="Times New Roman;Times;serif" w:hAnsi="Times New Roman;Times;serif"/>
          <w:b/>
          <w:i w:val="false"/>
          <w:caps w:val="false"/>
          <w:smallCaps w:val="false"/>
          <w:sz w:val="20"/>
        </w:rPr>
        <w:t>8.</w:t>
      </w:r>
      <w:r>
        <w:rPr>
          <w:rFonts w:ascii="Times New Roman;Times;serif" w:hAnsi="Times New Roman;Times;serif"/>
          <w:b/>
          <w:sz w:val="20"/>
        </w:rPr>
        <w:t>DEBT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short-term and long-term debt as of December 31, 2025 and June 30, 2026 were as follows:</w:t>
      </w:r>
    </w:p>
    <w:p>
      <w:pPr>
        <w:pStyle w:val="TextBody"/>
        <w:bidi w:val="0"/>
        <w:spacing w:before="0" w:after="240"/>
        <w:ind w:left="0" w:right="0" w:hanging="0"/>
        <w:jc w:val="left"/>
        <w:rPr/>
      </w:pPr>
      <w:r>
        <w:rPr/>
        <w:t>​</w:t>
      </w:r>
    </w:p>
    <w:tbl>
      <w:tblPr>
        <w:tblW w:w="7220" w:type="dxa"/>
        <w:jc w:val="left"/>
        <w:tblInd w:w="0" w:type="dxa"/>
        <w:tblLayout w:type="fixed"/>
        <w:tblCellMar>
          <w:top w:w="0" w:type="dxa"/>
          <w:left w:w="0" w:type="dxa"/>
          <w:bottom w:w="0" w:type="dxa"/>
          <w:right w:w="0" w:type="dxa"/>
        </w:tblCellMar>
      </w:tblPr>
      <w:tblGrid>
        <w:gridCol w:w="4576"/>
        <w:gridCol w:w="346"/>
        <w:gridCol w:w="1141"/>
        <w:gridCol w:w="346"/>
        <w:gridCol w:w="811"/>
      </w:tblGrid>
      <w:tr>
        <w:trPr/>
        <w:tc>
          <w:tcPr>
            <w:tcW w:w="4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905760" cy="175260"/>
                      <wp:effectExtent l="0" t="0" r="0" b="0"/>
                      <wp:wrapNone/>
                      <wp:docPr id="105" name="Frame105"/>
                      <a:graphic xmlns:a="http://schemas.openxmlformats.org/drawingml/2006/main">
                        <a:graphicData uri="http://schemas.microsoft.com/office/word/2010/wordprocessingShape">
                          <wps:wsp>
                            <wps:cNvSpPr txBox="1"/>
                            <wps:spPr>
                              <a:xfrm>
                                <a:off x="0" y="0"/>
                                <a:ext cx="2905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724535" cy="175260"/>
                      <wp:effectExtent l="0" t="0" r="0" b="0"/>
                      <wp:wrapNone/>
                      <wp:docPr id="107" name="Frame10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14985" cy="175260"/>
                      <wp:effectExtent l="0" t="0" r="0" b="0"/>
                      <wp:wrapNone/>
                      <wp:docPr id="109" name="Frame10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9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4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Short-term debt and current portion of long-term debt:</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  ​</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bank borrowings, current portion</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bank borrowings</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660</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senior notes, current portion</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3,514</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pPr>
            <w:r>
              <w:rPr/>
              <w:t>—</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FF&amp;E liability, current portion</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5,337</w:t>
            </w:r>
          </w:p>
        </w:tc>
        <w:tc>
          <w:tcPr>
            <w:tcW w:w="346" w:type="dxa"/>
            <w:tcBorders/>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w:t>
            </w:r>
          </w:p>
        </w:tc>
      </w:tr>
      <w:tr>
        <w:trPr/>
        <w:tc>
          <w:tcPr>
            <w:tcW w:w="45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Long-term debt:</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left"/>
              <w:rPr/>
            </w:pPr>
            <w:r>
              <w:rPr/>
              <w:t>​</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bank borrowings, non-current portion</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3,137</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FF&amp;E liability, non-current portion</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w:t>
            </w:r>
          </w:p>
        </w:tc>
        <w:tc>
          <w:tcPr>
            <w:tcW w:w="346" w:type="dxa"/>
            <w:tcBorders/>
            <w:vAlign w:val="center"/>
          </w:tcPr>
          <w:p>
            <w:pPr>
              <w:pStyle w:val="TableContents"/>
              <w:bidi w:val="0"/>
              <w:spacing w:before="0" w:after="1"/>
              <w:ind w:left="0" w:right="0" w:hanging="0"/>
              <w:jc w:val="left"/>
              <w:rPr/>
            </w:pPr>
            <w:r>
              <w:rPr/>
              <w:t> </w:t>
            </w:r>
          </w:p>
        </w:tc>
        <w:tc>
          <w:tcPr>
            <w:tcW w:w="81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3,315</w:t>
            </w:r>
          </w:p>
        </w:tc>
      </w:tr>
    </w:tbl>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Bank borrowings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March 2024, the Group entered into a five-year syndicated loan contract with facility amount of RMB400 expiring in March 2029. As of December 31, 2025 and June 30, 2026, buildings with a net book value of RMB478 and RMB471, respectively, and land use rights with a net book value of RMB67 and RMB66, respectively, were pledged as collateral for the loan. The loan was intended for the operation of headquarters buildings and refinancing existing obligations. The interest rate reset every year, and was based on the People’s Bank of China one-year benchmark </w:t>
      </w:r>
      <w:r>
        <w:rPr>
          <w:rFonts w:ascii="Times New Roman;Times;serif" w:hAnsi="Times New Roman;Times;serif"/>
          <w:b w:val="false"/>
          <w:i w:val="false"/>
          <w:caps w:val="false"/>
          <w:smallCaps w:val="false"/>
          <w:sz w:val="20"/>
        </w:rPr>
        <w:t>LPR</w:t>
      </w:r>
      <w:r>
        <w:rPr>
          <w:rFonts w:ascii="Times New Roman;Times;serif" w:hAnsi="Times New Roman;Times;serif"/>
          <w:sz w:val="20"/>
        </w:rPr>
        <w:t xml:space="preserve"> minus 55 basis points on the pricing date. There are some financial covenants including revenue and profit related to this facility. The Group was fully in compliance with the covenants for the year ended December 31, 2025 and for the six months ended June 30, 2026. In 2024, the Group had drawn down RMB340 under the facility agreement and repaid RMB15. In 2025, the Group repaid RMB40. The Group repaid RMB25 during the six months ended June 30, 2026. As of December 31, 2025 and June 30, 2026, the outstanding loan amount was RMB285 and RMB260, and the interest rates of borrowings drawn under this agreement were at 2.55% and 2.45%,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July 2025, the Group entered into a one-year loan facility agreement of up to RMB2,000 or its equivalent in other currencies. The Group had drawn down RMB1,400 under this agreement and the interest rate was fixed at 1.8% per annum. This amount was fully repaid by June 30, 2026.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October 2025, the Group entered into an uncommitted one-year revolving loan facility agreement of up to US$100 million (or the RMB equivalent). The credit facility was available for </w:t>
      </w:r>
      <w:r>
        <w:rPr>
          <w:rFonts w:ascii="Times New Roman;Times;serif" w:hAnsi="Times New Roman;Times;serif"/>
          <w:b w:val="false"/>
          <w:i w:val="false"/>
          <w:caps w:val="false"/>
          <w:smallCaps w:val="false"/>
          <w:sz w:val="20"/>
        </w:rPr>
        <w:t>12 months</w:t>
      </w:r>
      <w:r>
        <w:rPr>
          <w:rFonts w:ascii="Times New Roman;Times;serif" w:hAnsi="Times New Roman;Times;serif"/>
          <w:sz w:val="20"/>
        </w:rPr>
        <w:t xml:space="preserve"> after the utilization date and was subsequently extended to 36 months in 2026. As of December 31, 2025, the Group did not draw down the loan. As of June 30, 2026, the Group had drawn down RMB693 under this agreement, with an interest rate of 1.9% per annum.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November 2025, the Group entered into an uncommitted one-year revolving loan facility agreement of up to US$50 million (or the equivalent in RMB or EUR or HKD). The credit facility was available for </w:t>
      </w:r>
      <w:r>
        <w:rPr>
          <w:rFonts w:ascii="Times New Roman;Times;serif" w:hAnsi="Times New Roman;Times;serif"/>
          <w:b w:val="false"/>
          <w:i w:val="false"/>
          <w:caps w:val="false"/>
          <w:smallCaps w:val="false"/>
          <w:sz w:val="20"/>
        </w:rPr>
        <w:t>12 months</w:t>
      </w:r>
      <w:r>
        <w:rPr>
          <w:rFonts w:ascii="Times New Roman;Times;serif" w:hAnsi="Times New Roman;Times;serif"/>
          <w:sz w:val="20"/>
        </w:rPr>
        <w:t xml:space="preserve"> after the utilization date and was subsequently extended to 36 months in 2026. As of December 31, 2025, the Group did not draw down the loan. As of June 30, 2026, the Group had drawn down RMB335 under this agreement, with an interest rate of 1.9% per annum.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November 2025, the Group entered into a term loan and revolving credit facility agreement of up to US$300 million (or its RMB equivalent) with several banks. The term loan and revolving credit facility was available for 12 months after the utilization date and was subsequently extended to 36 months in 2026. There were some financial covenants including interest cover, leverage and book equity related to this facility. The Group was fully in compliance with the covenants for the year ended December 31, 2025 and for the six months ended June 30, 2026. As of December 31, 2025, the Group did not draw down the loan. As of June 30, 2026, the Group had drawn down RMB-equivalent of US$300 million under this agreement, with interest rates ranging from 1.82% to 2.39%.</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December 2025, the Group entered into an uncommitted one-year revolving loan facility agreement of up to RMB450 (or its equivalent in USD). The credit facility was available for </w:t>
      </w:r>
      <w:r>
        <w:rPr>
          <w:rFonts w:ascii="Times New Roman;Times;serif" w:hAnsi="Times New Roman;Times;serif"/>
          <w:b w:val="false"/>
          <w:i w:val="false"/>
          <w:caps w:val="false"/>
          <w:smallCaps w:val="false"/>
          <w:sz w:val="20"/>
        </w:rPr>
        <w:t>12 months</w:t>
      </w:r>
      <w:r>
        <w:rPr>
          <w:rFonts w:ascii="Times New Roman;Times;serif" w:hAnsi="Times New Roman;Times;serif"/>
          <w:sz w:val="20"/>
        </w:rPr>
        <w:t xml:space="preserve"> after the utilization date and was subsequently extended to 36 months in 2026. As of June 30, 2026, the Group did not draw down the loan. In August 2026, the Group drew down RMB100.</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June 2026, the Group entered into an uncommitted one-year revolving loan facility agreement of up to US$100 million (or the equivalent in RMB or EUR). The credit facility was available for </w:t>
      </w:r>
      <w:r>
        <w:rPr>
          <w:rFonts w:ascii="Times New Roman;Times;serif" w:hAnsi="Times New Roman;Times;serif"/>
          <w:b w:val="false"/>
          <w:i w:val="false"/>
          <w:caps w:val="false"/>
          <w:smallCaps w:val="false"/>
          <w:sz w:val="20"/>
        </w:rPr>
        <w:t>12 months</w:t>
      </w:r>
      <w:r>
        <w:rPr>
          <w:rFonts w:ascii="Times New Roman;Times;serif" w:hAnsi="Times New Roman;Times;serif"/>
          <w:sz w:val="20"/>
        </w:rPr>
        <w:t xml:space="preserve"> after the utilization date and was expected to be extended to 36 months, subject to satisfaction of certain conditions. As of June 30, 2026, the Group had drawn down RMB660 under this agreement, with an interest rate of 1.9% per annum.</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Convertible Senior Notes due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May 2020, the Company issued US$500 million of Convertible Senior Notes (the “2026 Notes”). The 2026 Notes matured on May 1, 2026, upon which an aggregate principal of US$499.6 million under the notes was converted into 13 million ADSs. The Company redeemed the remaining principal balance of US$0.4 million of the 2026 Notes.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360" w:right="0" w:hanging="0"/>
        <w:jc w:val="left"/>
        <w:rPr>
          <w:rFonts w:ascii="Times New Roman;Times;serif" w:hAnsi="Times New Roman;Times;serif"/>
          <w:b/>
          <w:i/>
          <w:sz w:val="20"/>
        </w:rPr>
      </w:pPr>
      <w:bookmarkStart w:id="955" w:name="Tc_cZ3R5KJbhU-V97mt-FylEA_8_0"/>
      <w:bookmarkStart w:id="956" w:name="Tc_zTKKRrc6sUi3nPgvLhUjtg_7_0"/>
      <w:bookmarkStart w:id="957" w:name="Tc_vTCfbgOb_Uqblnh5oKqT8w_6_0"/>
      <w:bookmarkStart w:id="958" w:name="Tc_Q31X605ZTEu7gQzZcStn4w_5_0"/>
      <w:bookmarkStart w:id="959" w:name="Tc_DNbmVokJWEWrYNDSnEzkFQ_4_0"/>
      <w:bookmarkStart w:id="960" w:name="Tc_pUJ-T5VV60C2-8KAtU1XPw_3_0"/>
      <w:bookmarkStart w:id="961" w:name="Tc_aZuLl1W2nEC_J7S098zKVw_2_0"/>
      <w:bookmarkStart w:id="962" w:name="Tc_uwg3tP9wTUuRZbTldtZ95Q_1_2"/>
      <w:bookmarkEnd w:id="955"/>
      <w:bookmarkEnd w:id="956"/>
      <w:bookmarkEnd w:id="957"/>
      <w:bookmarkEnd w:id="958"/>
      <w:bookmarkEnd w:id="959"/>
      <w:bookmarkEnd w:id="960"/>
      <w:bookmarkEnd w:id="961"/>
      <w:bookmarkEnd w:id="962"/>
      <w:r>
        <w:rPr>
          <w:rFonts w:ascii="Times New Roman;Times;serif" w:hAnsi="Times New Roman;Times;serif"/>
          <w:b/>
          <w:i/>
          <w:sz w:val="20"/>
        </w:rPr>
        <w:t>Debt Maturities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contractual maturities of the Group’s debt as of June 30, 2026 were as follows:</w:t>
      </w:r>
    </w:p>
    <w:p>
      <w:pPr>
        <w:pStyle w:val="TextBody"/>
        <w:bidi w:val="0"/>
        <w:spacing w:before="0" w:after="0"/>
        <w:ind w:left="0" w:right="0" w:hanging="0"/>
        <w:jc w:val="left"/>
        <w:rPr/>
      </w:pPr>
      <w:r>
        <w:rPr/>
        <w:t>​</w:t>
      </w:r>
    </w:p>
    <w:tbl>
      <w:tblPr>
        <w:tblW w:w="3513" w:type="dxa"/>
        <w:jc w:val="left"/>
        <w:tblInd w:w="0" w:type="dxa"/>
        <w:tblLayout w:type="fixed"/>
        <w:tblCellMar>
          <w:top w:w="0" w:type="dxa"/>
          <w:left w:w="0" w:type="dxa"/>
          <w:bottom w:w="0" w:type="dxa"/>
          <w:right w:w="0" w:type="dxa"/>
        </w:tblCellMar>
      </w:tblPr>
      <w:tblGrid>
        <w:gridCol w:w="1681"/>
        <w:gridCol w:w="346"/>
        <w:gridCol w:w="1486"/>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067435" cy="175260"/>
                      <wp:effectExtent l="0" t="0" r="0" b="0"/>
                      <wp:wrapNone/>
                      <wp:docPr id="110" name="Frame110"/>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943610" cy="175260"/>
                      <wp:effectExtent l="0" t="0" r="0" b="0"/>
                      <wp:wrapNone/>
                      <wp:docPr id="112" name="Frame112"/>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Principle Amounts</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shd w:fill="CCEEFF" w:val="clear"/>
            <w:vAlign w:val="center"/>
          </w:tcPr>
          <w:p>
            <w:pPr>
              <w:pStyle w:val="TableContents"/>
              <w:bidi w:val="0"/>
              <w:spacing w:before="0" w:after="0"/>
              <w:ind w:left="0" w:right="0" w:hanging="0"/>
              <w:jc w:val="left"/>
              <w:rPr/>
            </w:pPr>
            <w:r>
              <w:rPr/>
              <w:t> </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910</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 </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14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4,226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63" w:name="Tc_2w5j_XQrUU2VCCSMKT3WuQ_10_0"/>
      <w:bookmarkStart w:id="964" w:name="Tc_ROhlYLgx00isyRzjhv3g7A_9_0"/>
      <w:bookmarkStart w:id="965" w:name="Tc_ZJ1nl5pGNUq4DrWQdoiLDw_8_0"/>
      <w:bookmarkStart w:id="966" w:name="Tc_XQc3nTaQ_kCQL25PYMiaOg_7_0"/>
      <w:bookmarkStart w:id="967" w:name="Tc_2Rka48d05kuUaLSTSTnMzQ_6_0"/>
      <w:bookmarkStart w:id="968" w:name="Tc_JlngEqbkREKVVdSCrRLKqg_5_0"/>
      <w:bookmarkStart w:id="969" w:name="Tc_qJOjwgf440yeytPD4MENuw_4_0"/>
      <w:bookmarkStart w:id="970" w:name="Tc_yM5bRvqq40uERDkkv2WC0g_3_4"/>
      <w:bookmarkStart w:id="971" w:name="Tc_5SVhnMPSr0GCmuz3eyXZoA_3_2"/>
      <w:bookmarkStart w:id="972" w:name="Tc_046R8trNt0mqfspURoUrRw_2_4"/>
      <w:bookmarkStart w:id="973" w:name="Tc_L15mfFNXk0KViniQEuvJOQ_2_2"/>
      <w:bookmarkStart w:id="974" w:name="Tc_PPXCsdDtBEaz_7hN8b0EPQ_1_2"/>
      <w:bookmarkEnd w:id="963"/>
      <w:bookmarkEnd w:id="964"/>
      <w:bookmarkEnd w:id="965"/>
      <w:bookmarkEnd w:id="966"/>
      <w:bookmarkEnd w:id="967"/>
      <w:bookmarkEnd w:id="968"/>
      <w:bookmarkEnd w:id="969"/>
      <w:bookmarkEnd w:id="970"/>
      <w:bookmarkEnd w:id="971"/>
      <w:bookmarkEnd w:id="972"/>
      <w:bookmarkEnd w:id="973"/>
      <w:bookmarkEnd w:id="974"/>
      <w:r>
        <w:rPr>
          <w:rFonts w:ascii="Times New Roman;Times;serif" w:hAnsi="Times New Roman;Times;serif"/>
          <w:b/>
          <w:i w:val="false"/>
          <w:caps w:val="false"/>
          <w:smallCaps w:val="false"/>
          <w:sz w:val="20"/>
        </w:rPr>
        <w:t>9.</w:t>
      </w:r>
      <w:r>
        <w:rPr>
          <w:rFonts w:ascii="Times New Roman;Times;serif" w:hAnsi="Times New Roman;Times;serif"/>
          <w:b/>
          <w:sz w:val="20"/>
        </w:rPr>
        <w:t>ACCRUED EXPENSES AND OTHER CURRENT LIABILITIES</w:t>
      </w:r>
    </w:p>
    <w:p>
      <w:pPr>
        <w:pStyle w:val="TextBody"/>
        <w:bidi w:val="0"/>
        <w:spacing w:before="0" w:after="240"/>
        <w:ind w:left="0" w:right="0" w:hanging="0"/>
        <w:jc w:val="left"/>
        <w:rPr/>
      </w:pPr>
      <w:r>
        <w:rPr/>
        <w:t>​</w:t>
      </w:r>
    </w:p>
    <w:tbl>
      <w:tblPr>
        <w:tblW w:w="6935" w:type="dxa"/>
        <w:jc w:val="left"/>
        <w:tblInd w:w="0" w:type="dxa"/>
        <w:tblLayout w:type="fixed"/>
        <w:tblCellMar>
          <w:top w:w="0" w:type="dxa"/>
          <w:left w:w="0" w:type="dxa"/>
          <w:bottom w:w="0" w:type="dxa"/>
          <w:right w:w="0" w:type="dxa"/>
        </w:tblCellMar>
      </w:tblPr>
      <w:tblGrid>
        <w:gridCol w:w="4291"/>
        <w:gridCol w:w="346"/>
        <w:gridCol w:w="1141"/>
        <w:gridCol w:w="346"/>
        <w:gridCol w:w="811"/>
      </w:tblGrid>
      <w:tr>
        <w:trPr/>
        <w:tc>
          <w:tcPr>
            <w:tcW w:w="4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724785" cy="175260"/>
                      <wp:effectExtent l="0" t="0" r="0" b="0"/>
                      <wp:wrapNone/>
                      <wp:docPr id="113" name="Frame113"/>
                      <a:graphic xmlns:a="http://schemas.openxmlformats.org/drawingml/2006/main">
                        <a:graphicData uri="http://schemas.microsoft.com/office/word/2010/wordprocessingShape">
                          <wps:wsp>
                            <wps:cNvSpPr txBox="1"/>
                            <wps:spPr>
                              <a:xfrm>
                                <a:off x="0" y="0"/>
                                <a:ext cx="272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724535" cy="175260"/>
                      <wp:effectExtent l="0" t="0" r="0" b="0"/>
                      <wp:wrapNone/>
                      <wp:docPr id="115" name="Frame11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14985" cy="175260"/>
                      <wp:effectExtent l="0" t="0" r="0" b="0"/>
                      <wp:wrapNone/>
                      <wp:docPr id="117" name="Frame11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r>
      <w:tr>
        <w:trPr/>
        <w:tc>
          <w:tcPr>
            <w:tcW w:w="4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 to franchisees</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1,762</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1,782</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payables</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1,801</w:t>
            </w:r>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rental, utilities and other accrued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related to customer loyalty program</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c>
          <w:tcPr>
            <w:tcW w:w="34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Value-added tax, other tax and surcharge payables</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4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 from noncontrolling interest holders</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4,902</w:t>
            </w:r>
          </w:p>
        </w:tc>
        <w:tc>
          <w:tcPr>
            <w:tcW w:w="346" w:type="dxa"/>
            <w:tcBorders/>
            <w:shd w:fill="CCEEFF" w:val="clear"/>
            <w:vAlign w:val="center"/>
          </w:tcPr>
          <w:p>
            <w:pPr>
              <w:pStyle w:val="TableContents"/>
              <w:bidi w:val="0"/>
              <w:spacing w:before="0" w:after="0"/>
              <w:ind w:left="0" w:right="0" w:hanging="0"/>
              <w:jc w:val="left"/>
              <w:rPr/>
            </w:pPr>
            <w:r>
              <w:rPr/>
              <w:t> </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4,912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20"/>
        <w:ind w:left="0" w:right="0" w:hanging="0"/>
        <w:jc w:val="left"/>
        <w:rPr>
          <w:rFonts w:ascii="Times New Roman;Times;serif" w:hAnsi="Times New Roman;Times;serif"/>
          <w:b/>
          <w:sz w:val="20"/>
        </w:rPr>
      </w:pPr>
      <w:bookmarkStart w:id="975" w:name="Tc_kcD05BlTMUuwEaJNcbr1Sw_10_0"/>
      <w:bookmarkStart w:id="976" w:name="Tc_6bCKHbOfZ0mnc7WbPMAX8g_9_0"/>
      <w:bookmarkStart w:id="977" w:name="Tc_Tnb1VbWeo0mQCWt3XNIXtg_8_0"/>
      <w:bookmarkStart w:id="978" w:name="Tc_TmpwzYHoyEyEBYA3BcuhVw_7_0"/>
      <w:bookmarkStart w:id="979" w:name="Tc_6yDse_5LhUSZsbLtTylxng_6_0"/>
      <w:bookmarkStart w:id="980" w:name="Tc_c-ixpwetT0WPsxTh0MOaFg_5_0"/>
      <w:bookmarkStart w:id="981" w:name="Tc_WWxaVdI16EeVtInnZ9ss5g_4_0"/>
      <w:bookmarkStart w:id="982" w:name="Tc_940fDkmfwkeb56OCgY4s-w_3_4"/>
      <w:bookmarkStart w:id="983" w:name="Tc_d_1VSJTtmkKOGUaCwjiAEA_3_2"/>
      <w:bookmarkStart w:id="984" w:name="Tc_5Jh7Gx8QCE6Xs8n5mD-QEg_2_2"/>
      <w:bookmarkStart w:id="985" w:name="Tc_uEZ7CeAcBUK4I71nC4oNBw_1_2"/>
      <w:bookmarkEnd w:id="975"/>
      <w:bookmarkEnd w:id="976"/>
      <w:bookmarkEnd w:id="977"/>
      <w:bookmarkEnd w:id="978"/>
      <w:bookmarkEnd w:id="979"/>
      <w:bookmarkEnd w:id="980"/>
      <w:bookmarkEnd w:id="981"/>
      <w:bookmarkEnd w:id="982"/>
      <w:bookmarkEnd w:id="983"/>
      <w:bookmarkEnd w:id="984"/>
      <w:bookmarkEnd w:id="985"/>
      <w:r>
        <w:rPr>
          <w:rFonts w:ascii="Times New Roman;Times;serif" w:hAnsi="Times New Roman;Times;serif"/>
          <w:b/>
          <w:i w:val="false"/>
          <w:caps w:val="false"/>
          <w:smallCaps w:val="false"/>
          <w:sz w:val="20"/>
        </w:rPr>
        <w:t>10.</w:t>
      </w:r>
      <w:r>
        <w:rPr>
          <w:rFonts w:ascii="Times New Roman;Times;serif" w:hAnsi="Times New Roman;Times;serif"/>
          <w:b/>
          <w:sz w:val="20"/>
        </w:rPr>
        <w:t>HOTEL OPERATING COSTS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Hotel operating costs include all direct costs incurred in the operation of the leased and owned hotels, manachised and franchised hotels and consist of the following:</w:t>
      </w:r>
    </w:p>
    <w:p>
      <w:pPr>
        <w:pStyle w:val="TextBody"/>
        <w:bidi w:val="0"/>
        <w:spacing w:before="0" w:after="240"/>
        <w:ind w:left="0" w:right="0" w:firstLine="360"/>
        <w:jc w:val="left"/>
        <w:rPr/>
      </w:pPr>
      <w:r>
        <w:rPr/>
        <w:t>​</w:t>
      </w:r>
    </w:p>
    <w:tbl>
      <w:tblPr>
        <w:tblW w:w="4670" w:type="dxa"/>
        <w:jc w:val="left"/>
        <w:tblInd w:w="0" w:type="dxa"/>
        <w:tblLayout w:type="fixed"/>
        <w:tblCellMar>
          <w:top w:w="0" w:type="dxa"/>
          <w:left w:w="0" w:type="dxa"/>
          <w:bottom w:w="0" w:type="dxa"/>
          <w:right w:w="0" w:type="dxa"/>
        </w:tblCellMar>
      </w:tblPr>
      <w:tblGrid>
        <w:gridCol w:w="2731"/>
        <w:gridCol w:w="346"/>
        <w:gridCol w:w="571"/>
        <w:gridCol w:w="346"/>
        <w:gridCol w:w="676"/>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734185" cy="175260"/>
                      <wp:effectExtent l="0" t="0" r="0" b="0"/>
                      <wp:wrapNone/>
                      <wp:docPr id="118" name="Frame118"/>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362585" cy="175260"/>
                      <wp:effectExtent l="0" t="0" r="0" b="0"/>
                      <wp:wrapNone/>
                      <wp:docPr id="120" name="Frame1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29260" cy="175260"/>
                      <wp:effectExtent l="0" t="0" r="0" b="0"/>
                      <wp:wrapNone/>
                      <wp:docPr id="122" name="Frame1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59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5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7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2,074</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2,033</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Utilities</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Personnel costs</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2,806</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2,955</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597</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Consumable, food and beverage</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w:t>
            </w:r>
          </w:p>
        </w:tc>
      </w:tr>
      <w:tr>
        <w:trPr/>
        <w:tc>
          <w:tcPr>
            <w:tcW w:w="2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990</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1,298</w:t>
            </w:r>
          </w:p>
        </w:tc>
      </w:tr>
      <w:tr>
        <w:trPr/>
        <w:tc>
          <w:tcPr>
            <w:tcW w:w="27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7,356</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7,685</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2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SHARE-BASED COMPENSATION</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In September 2009, the Group adopted the 2009 Share Incentive Plan which allows the Group to offer incentive awards to employees, officers, directors and consultants or advisors (the “Participants”). In March 2015, the Group increased the maximum number of incentive awards available under the 2009 Share Incentive Plan to 430,000,000. In June 2023, the Group adopted the 2023 Share Incentive Plan (collectively with 2009 Share Incentive Plan, the “Incentive Award Plans”), which allows the Group to offer incentive awards up to 20,000,000 ordinary shares to Participants. In June 2024, the Group increased the maximum number of incentive awards available under the 2023 Share Incentive Plan to 300,000,000. The incentive awards granted under the Incentive Award Plans typically have a maximum life of ten years and vest in typical ways as listed below:</w:t>
      </w:r>
    </w:p>
    <w:p>
      <w:pPr>
        <w:pStyle w:val="TextBody"/>
        <w:bidi w:val="0"/>
        <w:spacing w:before="0" w:after="220"/>
        <w:ind w:left="360" w:right="0" w:hanging="0"/>
        <w:jc w:val="both"/>
        <w:rPr>
          <w:rFonts w:ascii="Times New Roman;Times;serif" w:hAnsi="Times New Roman;Times;serif"/>
          <w:sz w:val="20"/>
        </w:rPr>
      </w:pPr>
      <w:r>
        <w:rPr>
          <w:rFonts w:ascii="Times New Roman;Times;serif" w:hAnsi="Times New Roman;Times;serif"/>
          <w:sz w:val="20"/>
        </w:rPr>
        <w:t>a.)Vest 50% on the second anniversary of the stated vesting commencement date with the remaining 50% vesting ratably over the following two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ind w:left="360" w:right="0" w:hanging="0"/>
        <w:jc w:val="both"/>
        <w:rPr>
          <w:rFonts w:ascii="Times New Roman;Times;serif" w:hAnsi="Times New Roman;Times;serif"/>
          <w:sz w:val="20"/>
        </w:rPr>
      </w:pPr>
      <w:bookmarkStart w:id="986" w:name="Tc_AJuKFZw7m02e-Vux3gwpSA_6_5"/>
      <w:bookmarkStart w:id="987" w:name="Tc_WGceXN7s0UK59d1QJ6Gnqw_6_3"/>
      <w:bookmarkStart w:id="988" w:name="Tc_gDxCcXExJkuxeGz2nSXd1g_6_0"/>
      <w:bookmarkStart w:id="989" w:name="Tc_bT0pq-4Sf0iuVdXRJjAgKA_5_5"/>
      <w:bookmarkStart w:id="990" w:name="Tc_SKnrdlyklkO9sp-0guoX-Q_5_3"/>
      <w:bookmarkStart w:id="991" w:name="Tc_cpXOuYgZQke7dn2dIUU9Og_5_0"/>
      <w:bookmarkStart w:id="992" w:name="Tc_6YcGD2dkqkaE0Mn2_Mf6yA_4_5"/>
      <w:bookmarkStart w:id="993" w:name="Tc_Z1a4ciKR4USTmO2PAwQUSQ_4_3"/>
      <w:bookmarkStart w:id="994" w:name="Tc_xUy81IswBUCPhdcsZQvQug_4_0"/>
      <w:bookmarkStart w:id="995" w:name="Tc_qWpWqPvwJ0in65aDsffAoQ_3_5"/>
      <w:bookmarkStart w:id="996" w:name="Tc_YBjoJEsSeEGujSjkZyi5cA_3_3"/>
      <w:bookmarkStart w:id="997" w:name="Tc_WRAXQzwNikOXxJ6jZRbshg_3_0"/>
      <w:bookmarkStart w:id="998" w:name="Tc_tdfotrWkSE2EqAHrQncRpw_2_0"/>
      <w:bookmarkStart w:id="999" w:name="Tc_99OrBu6Dvk6QVGOKkbo9lQ_1_4"/>
      <w:bookmarkStart w:id="1000" w:name="Tc_1_YhaLR-g0-CWWslGAAifw_1_2"/>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r>
        <w:rPr>
          <w:rFonts w:ascii="Times New Roman;Times;serif" w:hAnsi="Times New Roman;Times;serif"/>
          <w:sz w:val="20"/>
        </w:rPr>
        <w:t>b.)Vest over a period of ten years in equal yearly installments;</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As of June 30, 2026, the Group had granted 274,633,910 options and 360,969,690 nonvested restricted stocks, some of which were subject to adjustment on performance condition.</w:t>
      </w:r>
    </w:p>
    <w:p>
      <w:pPr>
        <w:pStyle w:val="TextBody"/>
        <w:bidi w:val="0"/>
        <w:spacing w:before="0" w:after="220"/>
        <w:ind w:left="360" w:right="0" w:hanging="0"/>
        <w:jc w:val="both"/>
        <w:rPr>
          <w:rFonts w:ascii="Times New Roman;Times;serif" w:hAnsi="Times New Roman;Times;serif"/>
          <w:i/>
          <w:sz w:val="20"/>
        </w:rPr>
      </w:pPr>
      <w:r>
        <w:rPr>
          <w:rFonts w:ascii="Times New Roman;Times;serif" w:hAnsi="Times New Roman;Times;serif"/>
          <w:i/>
          <w:sz w:val="20"/>
        </w:rPr>
        <w:t>Share options</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In 2023, the Group granted 28,625,350 share options to senior officers, which was in five tranches with performance conditions, and the vesting of each of the five tranches commences respectively at the first, second, third, fourth, and fifth anniversary of grant date. Each tranche is accounted for as a separate award with the same grant date, the same service inception date and its own requisite service period. The actual number of share options that could be exercised is contingent on certain financial performance of the year when vesting of share option commences. The Group reassesses the performance condition at each reporting period for true up. For each tranche, 50% vests on the second anniversary of the stated vesting commencement date with the remaining 50% vesting ratably over the following two years and will become exercisable if certain performance conditions are met for the five-year period ending December 31, 2027.</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In 2025, the Group granted 888,210 share options to senior officers, which was in three tranches with performance conditions, and the vesting of each of the three tranches commences respectively at the first, second and third anniversary of grant date. Each tranche is accounted for as a separate award with the same grant date, the same service inception date and its own requisite service period. The actual number of share options that could be exercised is contingent on certain financial performance of the year when vesting of share option commences. The Group reassesses the performance condition at each reporting period for true up. For each tranche, 50% vests on the first anniversary of the stated vesting commencement date with the remaining 50% vesting ratably over the following two years and will become exercisable if certain performance conditions are met for the three-year period ending December 31, 2027.</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2026, the Group granted 128,720 share options to senior officers, which was in two tranches with performance conditions, and the vesting of each of the two tranches commences respectively at the first, second anniversary of grant date. Each tranche is accounted for as a separate award with the same grant date, the same service inception date and its own requisite service period. The actual number of share options that could be exercised is contingent on certain financial performance of the year when vesting of share option commences. The Group reassesses the performance condition at each reporting period for true up. For each tranche, 50% vests on the second anniversary of the stated vesting commencement date with the remaining 50% vesting ratably over the following two years and will become exercisable if certain performance conditions are met for the two-year period ending December 31, 2027.</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weighted-average grant date fair values for options granted in 2025 and 2026 were US$1.34 and US$1.33 per share, respectively, computed using the binomial option pricing model. The binomial option pricing model required the input of subjective assumptions including the expected stock price volatility and the expected price multiple at which employees were likely to exercise stock options. The Group used historical data to estimate forfeiture rate. Expected volatilities were based on the average historical equity volatility of the Group. The risk-free rate for periods within the contractual life of the option was based on the U.S. Treasury yield curve in effect at the time of grant.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fair value of stock options was estimated using the following significant assumptions:</w:t>
      </w:r>
    </w:p>
    <w:p>
      <w:pPr>
        <w:pStyle w:val="TextBody"/>
        <w:bidi w:val="0"/>
        <w:spacing w:before="0" w:after="0"/>
        <w:ind w:left="0" w:right="0" w:hanging="0"/>
        <w:jc w:val="left"/>
        <w:rPr/>
      </w:pPr>
      <w:r>
        <w:rPr/>
        <w:t>​</w:t>
      </w:r>
    </w:p>
    <w:tbl>
      <w:tblPr>
        <w:tblW w:w="4866" w:type="dxa"/>
        <w:jc w:val="left"/>
        <w:tblInd w:w="0" w:type="dxa"/>
        <w:tblLayout w:type="fixed"/>
        <w:tblCellMar>
          <w:top w:w="0" w:type="dxa"/>
          <w:left w:w="0" w:type="dxa"/>
          <w:bottom w:w="0" w:type="dxa"/>
          <w:right w:w="0" w:type="dxa"/>
        </w:tblCellMar>
      </w:tblPr>
      <w:tblGrid>
        <w:gridCol w:w="2281"/>
        <w:gridCol w:w="346"/>
        <w:gridCol w:w="571"/>
        <w:gridCol w:w="526"/>
        <w:gridCol w:w="571"/>
        <w:gridCol w:w="571"/>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448435" cy="175260"/>
                      <wp:effectExtent l="0" t="0" r="0" b="0"/>
                      <wp:wrapNone/>
                      <wp:docPr id="123" name="Frame123"/>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62585" cy="175260"/>
                      <wp:effectExtent l="0" t="0" r="0" b="0"/>
                      <wp:wrapNone/>
                      <wp:docPr id="125" name="Frame12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34010" cy="175260"/>
                      <wp:effectExtent l="0" t="0" r="0" b="0"/>
                      <wp:wrapNone/>
                      <wp:docPr id="126" name="Frame126"/>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62585" cy="175260"/>
                      <wp:effectExtent l="0" t="0" r="0" b="0"/>
                      <wp:wrapNone/>
                      <wp:docPr id="127" name="Frame12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362585" cy="175260"/>
                      <wp:effectExtent l="0" t="0" r="0" b="0"/>
                      <wp:wrapNone/>
                      <wp:docPr id="128" name="Frame12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2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71" w:type="dxa"/>
            <w:tcBorders/>
            <w:vAlign w:val="center"/>
          </w:tcPr>
          <w:p>
            <w:pPr>
              <w:pStyle w:val="TableContents"/>
              <w:bidi w:val="0"/>
              <w:spacing w:before="0" w:after="0"/>
              <w:ind w:left="0" w:right="0" w:hanging="0"/>
              <w:jc w:val="left"/>
              <w:rPr/>
            </w:pPr>
            <w:r>
              <w:rPr/>
              <w:t> </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Suboptimal exercise factor</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5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51.75</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48.86</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Life of option</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001" w:name="Tc_ykLS_WT8ZEWfOliIAcAqLw_9_0"/>
      <w:bookmarkStart w:id="1002" w:name="Tc_8jtDDmp06kmM3x_DeALcCg_8_0"/>
      <w:bookmarkStart w:id="1003" w:name="Tc_f_mkA9K25EqQmwBesJKnag_7_0"/>
      <w:bookmarkStart w:id="1004" w:name="Tc_Lx-_T4r73USz40r5nrql3w_6_0"/>
      <w:bookmarkStart w:id="1005" w:name="Tc_WReFCimZFkWQ28Lm3wbatg_5_0"/>
      <w:bookmarkStart w:id="1006" w:name="Tc_8d96pNiaL0eO1tB4YG203Q_4_4"/>
      <w:bookmarkStart w:id="1007" w:name="Tc_tslQBoRk1kyFs8OrslqI8Q_3_4"/>
      <w:bookmarkStart w:id="1008" w:name="Tc_0HjE5jSr4ki7TYbRyH9eqA_3_2"/>
      <w:bookmarkStart w:id="1009" w:name="Tc_lJJTWa3S_U6vwVcVaF4zXg_2_4"/>
      <w:bookmarkStart w:id="1010" w:name="Tc_KJT2DvxS0E-ZgY_BmlQSVg_2_2"/>
      <w:bookmarkStart w:id="1011" w:name="Tc_nlMh3oPmNEC-40WxHC-P7g_1_4"/>
      <w:bookmarkStart w:id="1012" w:name="Tc_rS3x872NjEyoVGXtHrGiwQ_10_0"/>
      <w:bookmarkStart w:id="1013" w:name="Tc_52eoPs3DEEygqXNExSEkUQ_9_0"/>
      <w:bookmarkStart w:id="1014" w:name="Tc_Gmg-j5Q4YUOqD6IfkVpBbA_8_0"/>
      <w:bookmarkStart w:id="1015" w:name="Tc_3NB5hvz8BEOIB1TmexMdHQ_7_0"/>
      <w:bookmarkStart w:id="1016" w:name="Tc_Kqn7AI3gFEWma9zuUSYhrw_6_0"/>
      <w:bookmarkStart w:id="1017" w:name="Tc_DvSolUsyCEmfiQ9aTm-IUA_5_0"/>
      <w:bookmarkStart w:id="1018" w:name="Tc_6_BkLV8JMkSsNVAWe76w2A_4_8"/>
      <w:bookmarkStart w:id="1019" w:name="Tc_gSxj306V7UyzEjxQZvKaVw_4_6"/>
      <w:bookmarkStart w:id="1020" w:name="Tc_6F8EV_51YUyd1HqCWnpb5A_4_4"/>
      <w:bookmarkStart w:id="1021" w:name="Tc_oEnOQ9bMyEuMgt_HgxH2uA_3_8"/>
      <w:bookmarkStart w:id="1022" w:name="Tc_VTUOBvDBFkS7pJjSDHZHOw_3_6"/>
      <w:bookmarkStart w:id="1023" w:name="Tc_v-sSYivWCEqMwd1_QKt_bg_3_4"/>
      <w:bookmarkStart w:id="1024" w:name="Tc_rrclu05PRkWiYwRG22bQSw_3_2"/>
      <w:bookmarkStart w:id="1025" w:name="Tc_1Cxpx_MQHk-AIbZUfLnDeA_2_8"/>
      <w:bookmarkStart w:id="1026" w:name="Tc_opdsZ_PulEyDXZUIKmP7Hw_2_6"/>
      <w:bookmarkStart w:id="1027" w:name="Tc_gyAxlVx0YUWSdOs9lM3YXA_2_4"/>
      <w:bookmarkStart w:id="1028" w:name="Tc_Eqt9JHoIDUeVVjtFgf4MfA_2_2"/>
      <w:bookmarkStart w:id="1029" w:name="Tc_gCMtri8UIEqIE4RcRe4zmQ_1_6"/>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r>
        <w:rPr>
          <w:rFonts w:ascii="Times New Roman;Times;serif" w:hAnsi="Times New Roman;Times;serif"/>
          <w:sz w:val="20"/>
        </w:rPr>
        <w:t>The following table summarized the Group’s share option activity under the option plans: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82"/>
        <w:gridCol w:w="346"/>
        <w:gridCol w:w="1036"/>
        <w:gridCol w:w="346"/>
        <w:gridCol w:w="1280"/>
        <w:gridCol w:w="346"/>
        <w:gridCol w:w="1332"/>
        <w:gridCol w:w="346"/>
        <w:gridCol w:w="1391"/>
      </w:tblGrid>
      <w:tr>
        <w:trPr/>
        <w:tc>
          <w:tcPr>
            <w:tcW w:w="3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401570" cy="175260"/>
                      <wp:effectExtent l="0" t="0" r="0" b="0"/>
                      <wp:wrapNone/>
                      <wp:docPr id="129" name="Frame129"/>
                      <a:graphic xmlns:a="http://schemas.openxmlformats.org/drawingml/2006/main">
                        <a:graphicData uri="http://schemas.microsoft.com/office/word/2010/wordprocessingShape">
                          <wps:wsp>
                            <wps:cNvSpPr txBox="1"/>
                            <wps:spPr>
                              <a:xfrm>
                                <a:off x="0" y="0"/>
                                <a:ext cx="2401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57860" cy="175260"/>
                      <wp:effectExtent l="0" t="0" r="0" b="0"/>
                      <wp:wrapNone/>
                      <wp:docPr id="131" name="Frame13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812800" cy="175260"/>
                      <wp:effectExtent l="0" t="0" r="0" b="0"/>
                      <wp:wrapNone/>
                      <wp:docPr id="133" name="Frame133"/>
                      <a:graphic xmlns:a="http://schemas.openxmlformats.org/drawingml/2006/main">
                        <a:graphicData uri="http://schemas.microsoft.com/office/word/2010/wordprocessingShape">
                          <wps:wsp>
                            <wps:cNvSpPr txBox="1"/>
                            <wps:spPr>
                              <a:xfrm>
                                <a:off x="0" y="0"/>
                                <a:ext cx="812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845820" cy="175260"/>
                      <wp:effectExtent l="0" t="0" r="0" b="0"/>
                      <wp:wrapNone/>
                      <wp:docPr id="135" name="Frame135"/>
                      <a:graphic xmlns:a="http://schemas.openxmlformats.org/drawingml/2006/main">
                        <a:graphicData uri="http://schemas.microsoft.com/office/word/2010/wordprocessingShape">
                          <wps:wsp>
                            <wps:cNvSpPr txBox="1"/>
                            <wps:spPr>
                              <a:xfrm>
                                <a:off x="0" y="0"/>
                                <a:ext cx="845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883285" cy="175260"/>
                      <wp:effectExtent l="0" t="0" r="0" b="0"/>
                      <wp:wrapNone/>
                      <wp:docPr id="137" name="Frame137"/>
                      <a:graphic xmlns:a="http://schemas.openxmlformats.org/drawingml/2006/main">
                        <a:graphicData uri="http://schemas.microsoft.com/office/word/2010/wordprocessingShape">
                          <wps:wsp>
                            <wps:cNvSpPr txBox="1"/>
                            <wps:spPr>
                              <a:xfrm>
                                <a:off x="0" y="0"/>
                                <a:ext cx="883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8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8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3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46" w:type="dxa"/>
            <w:tcBorders/>
            <w:vAlign w:val="center"/>
          </w:tcPr>
          <w:p>
            <w:pPr>
              <w:pStyle w:val="TableContents"/>
              <w:bidi w:val="0"/>
              <w:spacing w:before="0" w:after="1"/>
              <w:ind w:left="0" w:right="0" w:hanging="0"/>
              <w:jc w:val="center"/>
              <w:rPr/>
            </w:pPr>
            <w:r>
              <w:rPr/>
              <w:t>​</w:t>
            </w:r>
          </w:p>
        </w:tc>
        <w:tc>
          <w:tcPr>
            <w:tcW w:w="1391" w:type="dxa"/>
            <w:tcBorders/>
            <w:vAlign w:val="center"/>
          </w:tcPr>
          <w:p>
            <w:pPr>
              <w:pStyle w:val="TableContents"/>
              <w:bidi w:val="0"/>
              <w:spacing w:before="0" w:after="1"/>
              <w:ind w:left="0" w:right="0" w:hanging="0"/>
              <w:jc w:val="center"/>
              <w:rPr/>
            </w:pPr>
            <w:r>
              <w:rPr/>
              <w:t>​</w:t>
            </w:r>
          </w:p>
        </w:tc>
      </w:tr>
      <w:tr>
        <w:trPr/>
        <w:tc>
          <w:tcPr>
            <w:tcW w:w="378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46" w:type="dxa"/>
            <w:tcBorders/>
            <w:vAlign w:val="center"/>
          </w:tcPr>
          <w:p>
            <w:pPr>
              <w:pStyle w:val="TableContents"/>
              <w:bidi w:val="0"/>
              <w:spacing w:before="0" w:after="1"/>
              <w:ind w:left="0" w:right="0" w:hanging="0"/>
              <w:jc w:val="left"/>
              <w:rPr/>
            </w:pPr>
            <w:r>
              <w:rPr/>
              <w:t>​</w:t>
            </w:r>
          </w:p>
        </w:tc>
        <w:tc>
          <w:tcPr>
            <w:tcW w:w="133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1"/>
              <w:ind w:left="0" w:right="0" w:hanging="0"/>
              <w:jc w:val="left"/>
              <w:rPr/>
            </w:pPr>
            <w:r>
              <w:rPr/>
              <w:t>​</w:t>
            </w:r>
          </w:p>
        </w:tc>
        <w:tc>
          <w:tcPr>
            <w:tcW w:w="13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 Intrinsic</w:t>
            </w:r>
          </w:p>
        </w:tc>
      </w:tr>
      <w:tr>
        <w:trPr/>
        <w:tc>
          <w:tcPr>
            <w:tcW w:w="378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1"/>
              <w:ind w:left="0" w:right="0" w:hanging="0"/>
              <w:jc w:val="left"/>
              <w:rPr/>
            </w:pPr>
            <w:r>
              <w:rPr/>
              <w:t>  ​ ​ ​</w:t>
            </w:r>
          </w:p>
        </w:tc>
        <w:tc>
          <w:tcPr>
            <w:tcW w:w="128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1"/>
              <w:ind w:left="0" w:right="0" w:hanging="0"/>
              <w:jc w:val="left"/>
              <w:rPr/>
            </w:pPr>
            <w:r>
              <w:rPr/>
              <w:t>  ​ ​ ​</w:t>
            </w:r>
          </w:p>
        </w:tc>
        <w:tc>
          <w:tcPr>
            <w:tcW w:w="133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 Life</w:t>
            </w:r>
          </w:p>
        </w:tc>
        <w:tc>
          <w:tcPr>
            <w:tcW w:w="346" w:type="dxa"/>
            <w:tcBorders/>
            <w:vAlign w:val="center"/>
          </w:tcPr>
          <w:p>
            <w:pPr>
              <w:pStyle w:val="TableContents"/>
              <w:bidi w:val="0"/>
              <w:spacing w:before="0" w:after="1"/>
              <w:ind w:left="0" w:right="0" w:hanging="0"/>
              <w:jc w:val="left"/>
              <w:rPr/>
            </w:pPr>
            <w:r>
              <w:rPr/>
              <w:t>  ​ ​ ​</w:t>
            </w:r>
          </w:p>
        </w:tc>
        <w:tc>
          <w:tcPr>
            <w:tcW w:w="13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78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280"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US$</w:t>
            </w:r>
          </w:p>
        </w:tc>
        <w:tc>
          <w:tcPr>
            <w:tcW w:w="346" w:type="dxa"/>
            <w:tcBorders/>
            <w:vAlign w:val="center"/>
          </w:tcPr>
          <w:p>
            <w:pPr>
              <w:pStyle w:val="TableContents"/>
              <w:bidi w:val="0"/>
              <w:spacing w:before="0" w:after="1"/>
              <w:ind w:left="0" w:right="0" w:hanging="0"/>
              <w:jc w:val="left"/>
              <w:rPr/>
            </w:pPr>
            <w:r>
              <w:rPr/>
              <w:t> </w:t>
            </w:r>
          </w:p>
        </w:tc>
        <w:tc>
          <w:tcPr>
            <w:tcW w:w="1332"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Years</w:t>
            </w:r>
          </w:p>
        </w:tc>
        <w:tc>
          <w:tcPr>
            <w:tcW w:w="346" w:type="dxa"/>
            <w:tcBorders/>
            <w:vAlign w:val="center"/>
          </w:tcPr>
          <w:p>
            <w:pPr>
              <w:pStyle w:val="TableContents"/>
              <w:bidi w:val="0"/>
              <w:spacing w:before="0" w:after="1"/>
              <w:ind w:left="0" w:right="0" w:hanging="0"/>
              <w:jc w:val="left"/>
              <w:rPr/>
            </w:pPr>
            <w:r>
              <w:rPr/>
              <w:t> </w:t>
            </w:r>
          </w:p>
        </w:tc>
        <w:tc>
          <w:tcPr>
            <w:tcW w:w="139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US$’million</w:t>
            </w:r>
          </w:p>
        </w:tc>
      </w:tr>
      <w:tr>
        <w:trPr/>
        <w:tc>
          <w:tcPr>
            <w:tcW w:w="37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options outstanding at January 1, 2026</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24,406,030</w:t>
            </w:r>
          </w:p>
        </w:tc>
        <w:tc>
          <w:tcPr>
            <w:tcW w:w="346" w:type="dxa"/>
            <w:tcBorders/>
            <w:shd w:fill="CCEEFF" w:val="clear"/>
            <w:vAlign w:val="center"/>
          </w:tcPr>
          <w:p>
            <w:pPr>
              <w:pStyle w:val="TableContents"/>
              <w:bidi w:val="0"/>
              <w:spacing w:before="0" w:after="1"/>
              <w:ind w:left="0" w:right="0" w:hanging="0"/>
              <w:jc w:val="left"/>
              <w:rPr/>
            </w:pPr>
            <w:r>
              <w:rPr/>
              <w:t> </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346" w:type="dxa"/>
            <w:tcBorders/>
            <w:shd w:fill="CCEEFF" w:val="clear"/>
            <w:vAlign w:val="center"/>
          </w:tcPr>
          <w:p>
            <w:pPr>
              <w:pStyle w:val="TableContents"/>
              <w:bidi w:val="0"/>
              <w:spacing w:before="0" w:after="1"/>
              <w:ind w:left="0" w:right="0" w:hanging="0"/>
              <w:jc w:val="left"/>
              <w:rPr/>
            </w:pPr>
            <w:r>
              <w:rPr/>
              <w:t> </w:t>
            </w:r>
          </w:p>
        </w:tc>
        <w:tc>
          <w:tcPr>
            <w:tcW w:w="133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391" w:type="dxa"/>
            <w:tcBorders/>
            <w:shd w:fill="CCEEFF" w:val="clear"/>
            <w:vAlign w:val="center"/>
          </w:tcPr>
          <w:p>
            <w:pPr>
              <w:pStyle w:val="TableContents"/>
              <w:bidi w:val="0"/>
              <w:spacing w:before="0" w:after="1"/>
              <w:ind w:left="0" w:right="0" w:hanging="0"/>
              <w:jc w:val="right"/>
              <w:rPr/>
            </w:pPr>
            <w:r>
              <w:rPr/>
              <w:t>​</w:t>
            </w:r>
          </w:p>
        </w:tc>
      </w:tr>
      <w:tr>
        <w:trPr/>
        <w:tc>
          <w:tcPr>
            <w:tcW w:w="37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128,720</w:t>
            </w:r>
          </w:p>
        </w:tc>
        <w:tc>
          <w:tcPr>
            <w:tcW w:w="346"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346" w:type="dxa"/>
            <w:tcBorders/>
            <w:vAlign w:val="center"/>
          </w:tcPr>
          <w:p>
            <w:pPr>
              <w:pStyle w:val="TableContents"/>
              <w:bidi w:val="0"/>
              <w:spacing w:before="0" w:after="1"/>
              <w:ind w:left="0" w:right="0" w:hanging="0"/>
              <w:jc w:val="left"/>
              <w:rPr/>
            </w:pPr>
            <w:r>
              <w:rPr/>
              <w:t>​</w:t>
            </w:r>
          </w:p>
        </w:tc>
        <w:tc>
          <w:tcPr>
            <w:tcW w:w="133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391" w:type="dxa"/>
            <w:tcBorders/>
            <w:vAlign w:val="center"/>
          </w:tcPr>
          <w:p>
            <w:pPr>
              <w:pStyle w:val="TableContents"/>
              <w:bidi w:val="0"/>
              <w:spacing w:before="0" w:after="1"/>
              <w:ind w:left="0" w:right="0" w:hanging="0"/>
              <w:jc w:val="right"/>
              <w:rPr/>
            </w:pPr>
            <w:r>
              <w:rPr/>
              <w:t>​</w:t>
            </w:r>
          </w:p>
        </w:tc>
      </w:tr>
      <w:tr>
        <w:trPr/>
        <w:tc>
          <w:tcPr>
            <w:tcW w:w="37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Exercised </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(98,140)</w:t>
            </w:r>
          </w:p>
        </w:tc>
        <w:tc>
          <w:tcPr>
            <w:tcW w:w="346"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346" w:type="dxa"/>
            <w:tcBorders/>
            <w:shd w:fill="CCEEFF" w:val="clear"/>
            <w:vAlign w:val="center"/>
          </w:tcPr>
          <w:p>
            <w:pPr>
              <w:pStyle w:val="TableContents"/>
              <w:bidi w:val="0"/>
              <w:spacing w:before="0" w:after="1"/>
              <w:ind w:left="0" w:right="0" w:hanging="0"/>
              <w:jc w:val="left"/>
              <w:rPr/>
            </w:pPr>
            <w:r>
              <w:rPr/>
              <w:t>​</w:t>
            </w:r>
          </w:p>
        </w:tc>
        <w:tc>
          <w:tcPr>
            <w:tcW w:w="133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391" w:type="dxa"/>
            <w:tcBorders/>
            <w:shd w:fill="CCEEFF" w:val="clear"/>
            <w:vAlign w:val="center"/>
          </w:tcPr>
          <w:p>
            <w:pPr>
              <w:pStyle w:val="TableContents"/>
              <w:bidi w:val="0"/>
              <w:spacing w:before="0" w:after="1"/>
              <w:ind w:left="0" w:right="0" w:hanging="0"/>
              <w:jc w:val="right"/>
              <w:rPr/>
            </w:pPr>
            <w:r>
              <w:rPr/>
              <w:t>​</w:t>
            </w:r>
          </w:p>
        </w:tc>
      </w:tr>
      <w:tr>
        <w:trPr/>
        <w:tc>
          <w:tcPr>
            <w:tcW w:w="37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options outstanding at June 30, 2026</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24,436,610</w:t>
            </w:r>
          </w:p>
        </w:tc>
        <w:tc>
          <w:tcPr>
            <w:tcW w:w="346" w:type="dxa"/>
            <w:tcBorders/>
            <w:vAlign w:val="center"/>
          </w:tcPr>
          <w:p>
            <w:pPr>
              <w:pStyle w:val="TableContents"/>
              <w:bidi w:val="0"/>
              <w:spacing w:before="0" w:after="1"/>
              <w:ind w:left="0" w:right="0" w:hanging="0"/>
              <w:jc w:val="left"/>
              <w:rPr/>
            </w:pPr>
            <w:r>
              <w:rPr/>
              <w:t> </w:t>
            </w:r>
          </w:p>
        </w:tc>
        <w:tc>
          <w:tcPr>
            <w:tcW w:w="12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346" w:type="dxa"/>
            <w:tcBorders/>
            <w:vAlign w:val="center"/>
          </w:tcPr>
          <w:p>
            <w:pPr>
              <w:pStyle w:val="TableContents"/>
              <w:bidi w:val="0"/>
              <w:spacing w:before="0" w:after="1"/>
              <w:ind w:left="0" w:right="0" w:hanging="0"/>
              <w:jc w:val="left"/>
              <w:rPr/>
            </w:pPr>
            <w:r>
              <w:rPr/>
              <w:t> </w:t>
            </w:r>
          </w:p>
        </w:tc>
        <w:tc>
          <w:tcPr>
            <w:tcW w:w="13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w:t>
            </w:r>
          </w:p>
        </w:tc>
        <w:tc>
          <w:tcPr>
            <w:tcW w:w="346" w:type="dxa"/>
            <w:tcBorders/>
            <w:vAlign w:val="center"/>
          </w:tcPr>
          <w:p>
            <w:pPr>
              <w:pStyle w:val="TableContents"/>
              <w:bidi w:val="0"/>
              <w:spacing w:before="0" w:after="1"/>
              <w:ind w:left="0" w:right="0" w:hanging="0"/>
              <w:jc w:val="left"/>
              <w:rPr/>
            </w:pPr>
            <w:r>
              <w:rPr/>
              <w:t> </w:t>
            </w:r>
          </w:p>
        </w:tc>
        <w:tc>
          <w:tcPr>
            <w:tcW w:w="13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37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options vested or expected to vest at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22,460,850</w:t>
            </w:r>
          </w:p>
        </w:tc>
        <w:tc>
          <w:tcPr>
            <w:tcW w:w="346" w:type="dxa"/>
            <w:tcBorders/>
            <w:shd w:fill="CCEEFF" w:val="clear"/>
            <w:vAlign w:val="center"/>
          </w:tcPr>
          <w:p>
            <w:pPr>
              <w:pStyle w:val="TableContents"/>
              <w:bidi w:val="0"/>
              <w:spacing w:before="0" w:after="1"/>
              <w:ind w:left="0" w:right="0" w:hanging="0"/>
              <w:jc w:val="left"/>
              <w:rPr/>
            </w:pPr>
            <w:r>
              <w:rPr/>
              <w:t> </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346" w:type="dxa"/>
            <w:tcBorders/>
            <w:shd w:fill="CCEEFF" w:val="clear"/>
            <w:vAlign w:val="center"/>
          </w:tcPr>
          <w:p>
            <w:pPr>
              <w:pStyle w:val="TableContents"/>
              <w:bidi w:val="0"/>
              <w:spacing w:before="0" w:after="1"/>
              <w:ind w:left="0" w:right="0" w:hanging="0"/>
              <w:jc w:val="left"/>
              <w:rPr/>
            </w:pPr>
            <w:r>
              <w:rPr/>
              <w:t> </w:t>
            </w:r>
          </w:p>
        </w:tc>
        <w:tc>
          <w:tcPr>
            <w:tcW w:w="13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w:t>
            </w:r>
          </w:p>
        </w:tc>
        <w:tc>
          <w:tcPr>
            <w:tcW w:w="346" w:type="dxa"/>
            <w:tcBorders/>
            <w:shd w:fill="CCEEFF" w:val="clear"/>
            <w:vAlign w:val="center"/>
          </w:tcPr>
          <w:p>
            <w:pPr>
              <w:pStyle w:val="TableContents"/>
              <w:bidi w:val="0"/>
              <w:spacing w:before="0" w:after="1"/>
              <w:ind w:left="0" w:right="0" w:hanging="0"/>
              <w:jc w:val="left"/>
              <w:rPr/>
            </w:pPr>
            <w:r>
              <w:rPr/>
              <w:t> </w:t>
            </w:r>
          </w:p>
        </w:tc>
        <w:tc>
          <w:tcPr>
            <w:tcW w:w="13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7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options exercisable at June 30, 2026</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4,498,510</w:t>
            </w:r>
          </w:p>
        </w:tc>
        <w:tc>
          <w:tcPr>
            <w:tcW w:w="346" w:type="dxa"/>
            <w:tcBorders/>
            <w:vAlign w:val="center"/>
          </w:tcPr>
          <w:p>
            <w:pPr>
              <w:pStyle w:val="TableContents"/>
              <w:bidi w:val="0"/>
              <w:spacing w:before="0" w:after="1"/>
              <w:ind w:left="0" w:right="0" w:hanging="0"/>
              <w:jc w:val="left"/>
              <w:rPr/>
            </w:pPr>
            <w:r>
              <w:rPr/>
              <w:t> </w:t>
            </w:r>
          </w:p>
        </w:tc>
        <w:tc>
          <w:tcPr>
            <w:tcW w:w="12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346" w:type="dxa"/>
            <w:tcBorders/>
            <w:vAlign w:val="center"/>
          </w:tcPr>
          <w:p>
            <w:pPr>
              <w:pStyle w:val="TableContents"/>
              <w:bidi w:val="0"/>
              <w:spacing w:before="0" w:after="1"/>
              <w:ind w:left="0" w:right="0" w:hanging="0"/>
              <w:jc w:val="left"/>
              <w:rPr/>
            </w:pPr>
            <w:r>
              <w:rPr/>
              <w:t> </w:t>
            </w:r>
          </w:p>
        </w:tc>
        <w:tc>
          <w:tcPr>
            <w:tcW w:w="13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6.92</w:t>
            </w:r>
          </w:p>
        </w:tc>
        <w:tc>
          <w:tcPr>
            <w:tcW w:w="346" w:type="dxa"/>
            <w:tcBorders/>
            <w:vAlign w:val="center"/>
          </w:tcPr>
          <w:p>
            <w:pPr>
              <w:pStyle w:val="TableContents"/>
              <w:bidi w:val="0"/>
              <w:spacing w:before="0" w:after="1"/>
              <w:ind w:left="0" w:right="0" w:hanging="0"/>
              <w:jc w:val="left"/>
              <w:rPr/>
            </w:pPr>
            <w:r>
              <w:rPr/>
              <w:t> </w:t>
            </w:r>
          </w:p>
        </w:tc>
        <w:tc>
          <w:tcPr>
            <w:tcW w:w="139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Given the actual number of share options that could be exercised is contingent on certain financial performance of the year when vesting commences, the share-based compensation expenses related to these options would be recognized when the financial performance is expected to be met. The Group didn’t record any compensation expenses relating to options which are indexed to financial performance beyond the year ended December 31, 2026. The total share based compensation expenses relating to these options were RMB84.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June 30, 2026, there was RMB131 in total unrecognized compensation expense, net of estimated forfeitures, related to the option arrangements, which is expected to be recognized over a weighted-average period of 2.77 years.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six months ended June 30, 2026, 98,140 share options were exercised having an aggregate intrinsic value of RMB1.</w:t>
      </w:r>
    </w:p>
    <w:p>
      <w:pPr>
        <w:pStyle w:val="TextBody"/>
        <w:bidi w:val="0"/>
        <w:spacing w:before="0" w:after="220"/>
        <w:ind w:left="0" w:right="0" w:firstLine="360"/>
        <w:jc w:val="both"/>
        <w:rPr>
          <w:rFonts w:ascii="Times New Roman;Times;serif" w:hAnsi="Times New Roman;Times;serif"/>
          <w:i/>
          <w:sz w:val="20"/>
        </w:rPr>
      </w:pPr>
      <w:r>
        <w:rPr>
          <w:rFonts w:ascii="Times New Roman;Times;serif" w:hAnsi="Times New Roman;Times;serif"/>
          <w:i/>
          <w:sz w:val="20"/>
        </w:rPr>
        <w:t>Nonvested restricted stocks</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The fair value of nonvested restricted stock with service conditions or performance conditions is based on the fair market value of the underlying ordinary shares on the date of grant.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2023, the Group granted 28,625,350 nonvested restricted stocks to senior officers, with the same terms of the options granted in 2023. The share-based compensation expenses related to these nonvested restricted stocks would be recognized when the financial performance is expected to be met. In 2025, the Group granted 888,210 nonvested restricted stocks to senior officers, with the same terms of the options granted in 2025. In 2026, the Group granted 128,720 nonvested restricted stocks to senior officers, with the same terms of the options granted in 2026. The Group didn’t record any compensation expenses relating to options which are indexed to financial performance beyond the year ended December 31, 2026. The total share based compensation expenses relating to these nonvested restricted stocks were RMB137.</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The following table summarized the Group’s nonvested restricted stock activities during the six months ended June 30, 2026.</w:t>
      </w:r>
    </w:p>
    <w:p>
      <w:pPr>
        <w:pStyle w:val="TextBody"/>
        <w:bidi w:val="0"/>
        <w:spacing w:before="0" w:after="0"/>
        <w:ind w:left="0" w:right="0" w:hanging="0"/>
        <w:jc w:val="left"/>
        <w:rPr/>
      </w:pPr>
      <w:r>
        <w:rPr/>
        <w:t>​</w:t>
      </w:r>
    </w:p>
    <w:tbl>
      <w:tblPr>
        <w:tblW w:w="8255" w:type="dxa"/>
        <w:jc w:val="left"/>
        <w:tblInd w:w="0" w:type="dxa"/>
        <w:tblLayout w:type="fixed"/>
        <w:tblCellMar>
          <w:top w:w="0" w:type="dxa"/>
          <w:left w:w="0" w:type="dxa"/>
          <w:bottom w:w="0" w:type="dxa"/>
          <w:right w:w="0" w:type="dxa"/>
        </w:tblCellMar>
      </w:tblPr>
      <w:tblGrid>
        <w:gridCol w:w="4891"/>
        <w:gridCol w:w="346"/>
        <w:gridCol w:w="1351"/>
        <w:gridCol w:w="346"/>
        <w:gridCol w:w="1321"/>
      </w:tblGrid>
      <w:tr>
        <w:trPr/>
        <w:tc>
          <w:tcPr>
            <w:tcW w:w="4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105785" cy="175260"/>
                      <wp:effectExtent l="0" t="0" r="0" b="0"/>
                      <wp:wrapNone/>
                      <wp:docPr id="138" name="Frame138"/>
                      <a:graphic xmlns:a="http://schemas.openxmlformats.org/drawingml/2006/main">
                        <a:graphicData uri="http://schemas.microsoft.com/office/word/2010/wordprocessingShape">
                          <wps:wsp>
                            <wps:cNvSpPr txBox="1"/>
                            <wps:spPr>
                              <a:xfrm>
                                <a:off x="0" y="0"/>
                                <a:ext cx="3105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857885" cy="175260"/>
                      <wp:effectExtent l="0" t="0" r="0" b="0"/>
                      <wp:wrapNone/>
                      <wp:docPr id="140" name="Frame140"/>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838835" cy="175260"/>
                      <wp:effectExtent l="0" t="0" r="0" b="0"/>
                      <wp:wrapNone/>
                      <wp:docPr id="142" name="Frame142"/>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4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Grant</w:t>
            </w:r>
          </w:p>
        </w:tc>
      </w:tr>
      <w:tr>
        <w:trPr/>
        <w:tc>
          <w:tcPr>
            <w:tcW w:w="4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Restricted Stocks</w:t>
            </w:r>
          </w:p>
        </w:tc>
        <w:tc>
          <w:tcPr>
            <w:tcW w:w="346" w:type="dxa"/>
            <w:tcBorders/>
            <w:vAlign w:val="center"/>
          </w:tcPr>
          <w:p>
            <w:pPr>
              <w:pStyle w:val="TableContents"/>
              <w:bidi w:val="0"/>
              <w:spacing w:before="0" w:after="1"/>
              <w:ind w:left="0" w:right="0" w:hanging="0"/>
              <w:jc w:val="center"/>
              <w:rPr/>
            </w:pPr>
            <w:r>
              <w:rPr/>
              <w:t>  ​ ​ ​</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48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5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center"/>
              <w:rPr/>
            </w:pPr>
            <w:r>
              <w:rPr/>
              <w:t>​</w:t>
            </w:r>
          </w:p>
        </w:tc>
        <w:tc>
          <w:tcPr>
            <w:tcW w:w="132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US$</w:t>
            </w:r>
          </w:p>
        </w:tc>
      </w:tr>
      <w:tr>
        <w:trPr/>
        <w:tc>
          <w:tcPr>
            <w:tcW w:w="4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Nonvested restricted stocks outstanding at January 1, 2026</w:t>
            </w:r>
          </w:p>
        </w:tc>
        <w:tc>
          <w:tcPr>
            <w:tcW w:w="34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113,337,790</w:t>
            </w:r>
          </w:p>
        </w:tc>
        <w:tc>
          <w:tcPr>
            <w:tcW w:w="34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r>
      <w:tr>
        <w:trPr/>
        <w:tc>
          <w:tcPr>
            <w:tcW w:w="4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2,199,840</w:t>
            </w:r>
          </w:p>
        </w:tc>
        <w:tc>
          <w:tcPr>
            <w:tcW w:w="34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w:t>
            </w:r>
          </w:p>
        </w:tc>
      </w:tr>
      <w:tr>
        <w:trPr/>
        <w:tc>
          <w:tcPr>
            <w:tcW w:w="4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1"/>
              <w:ind w:left="0" w:right="0" w:hanging="0"/>
              <w:jc w:val="left"/>
              <w:rPr/>
            </w:pPr>
            <w:r>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(4,159,740)</w:t>
            </w:r>
          </w:p>
        </w:tc>
        <w:tc>
          <w:tcPr>
            <w:tcW w:w="34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r>
      <w:tr>
        <w:trPr/>
        <w:tc>
          <w:tcPr>
            <w:tcW w:w="4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vAlign w:val="center"/>
          </w:tcPr>
          <w:p>
            <w:pPr>
              <w:pStyle w:val="TableContents"/>
              <w:bidi w:val="0"/>
              <w:spacing w:before="0" w:after="1"/>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(10,537,210)</w:t>
            </w:r>
          </w:p>
        </w:tc>
        <w:tc>
          <w:tcPr>
            <w:tcW w:w="346" w:type="dxa"/>
            <w:tcBorders/>
            <w:vAlign w:val="center"/>
          </w:tcPr>
          <w:p>
            <w:pPr>
              <w:pStyle w:val="TableContents"/>
              <w:bidi w:val="0"/>
              <w:spacing w:before="0" w:after="1"/>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w:t>
            </w:r>
          </w:p>
        </w:tc>
      </w:tr>
      <w:tr>
        <w:trPr/>
        <w:tc>
          <w:tcPr>
            <w:tcW w:w="4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Nonvested restricted stocks outstanding at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13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100,840,680</w:t>
            </w:r>
          </w:p>
        </w:tc>
        <w:tc>
          <w:tcPr>
            <w:tcW w:w="346" w:type="dxa"/>
            <w:tcBorders/>
            <w:shd w:fill="CCEEFF" w:val="clear"/>
            <w:vAlign w:val="center"/>
          </w:tcPr>
          <w:p>
            <w:pPr>
              <w:pStyle w:val="TableContents"/>
              <w:bidi w:val="0"/>
              <w:spacing w:before="0" w:after="1"/>
              <w:ind w:left="0" w:right="0" w:hanging="0"/>
              <w:jc w:val="left"/>
              <w:rPr/>
            </w:pPr>
            <w:r>
              <w:rPr/>
              <w:t>​</w:t>
            </w:r>
          </w:p>
        </w:tc>
        <w:tc>
          <w:tcPr>
            <w:tcW w:w="132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2.96</w:t>
            </w:r>
          </w:p>
        </w:tc>
      </w:tr>
    </w:tbl>
    <w:p>
      <w:pPr>
        <w:pStyle w:val="TextBody"/>
        <w:bidi w:val="0"/>
        <w:spacing w:before="0" w:after="240"/>
        <w:ind w:left="0" w:right="0" w:hanging="0"/>
        <w:jc w:val="left"/>
        <w:rPr/>
      </w:pPr>
      <w:r>
        <w:rPr/>
        <w:t>​</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As of June 30, 2026, there was RMB1,462 in unrecognized compensation costs, net of estimated forfeitures, related to unvested restricted stocks, which is expected to be recognized over a weighted-average period of 5.31 years.</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The total fair value of nonvested restricted stocks vested was RMB283 and RMB343 for the six months ended June 30, 2025 and 2026,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firstLine="360"/>
        <w:jc w:val="both"/>
        <w:rPr>
          <w:rFonts w:ascii="Times New Roman;Times;serif" w:hAnsi="Times New Roman;Times;serif"/>
          <w:sz w:val="20"/>
        </w:rPr>
      </w:pPr>
      <w:bookmarkStart w:id="1030" w:name="Tc_OJqWdi5LtUmPvRlng_Jg7w_6_0"/>
      <w:bookmarkStart w:id="1031" w:name="Tc_Vn_W1x07pkmUdFB7wT0Mlg_5_0"/>
      <w:bookmarkStart w:id="1032" w:name="Tc_HZsEtv9Xh06t2chhlaFMeQ_4_0"/>
      <w:bookmarkStart w:id="1033" w:name="Tc_S8BsYLno7Uic-2ZdYvYlSg_3_0"/>
      <w:bookmarkStart w:id="1034" w:name="Tc_YZgSxvVs6UeZDdeTT1JHug_2_4"/>
      <w:bookmarkStart w:id="1035" w:name="Tc_kjZ8uCXEsU6cZuR89PFByA_2_2"/>
      <w:bookmarkStart w:id="1036" w:name="Tc_MVX_kszggU64WFkfLZd1JQ_1_2"/>
      <w:bookmarkEnd w:id="1030"/>
      <w:bookmarkEnd w:id="1031"/>
      <w:bookmarkEnd w:id="1032"/>
      <w:bookmarkEnd w:id="1033"/>
      <w:bookmarkEnd w:id="1034"/>
      <w:bookmarkEnd w:id="1035"/>
      <w:bookmarkEnd w:id="1036"/>
      <w:r>
        <w:rPr>
          <w:rFonts w:ascii="Times New Roman;Times;serif" w:hAnsi="Times New Roman;Times;serif"/>
          <w:sz w:val="20"/>
        </w:rPr>
        <w:t>For the six months ended June 30, 2025 and 2026, the Group recognized share-based compensation expenses of RMB247 and RMB265, respectively, which were classified as follows:</w:t>
      </w:r>
    </w:p>
    <w:p>
      <w:pPr>
        <w:pStyle w:val="TextBody"/>
        <w:bidi w:val="0"/>
        <w:spacing w:before="0" w:after="0"/>
        <w:ind w:left="0" w:right="0" w:hanging="0"/>
        <w:jc w:val="left"/>
        <w:rPr/>
      </w:pPr>
      <w:r>
        <w:rPr/>
        <w:t>​</w:t>
      </w:r>
    </w:p>
    <w:tbl>
      <w:tblPr>
        <w:tblW w:w="5551" w:type="dxa"/>
        <w:jc w:val="left"/>
        <w:tblInd w:w="0" w:type="dxa"/>
        <w:tblLayout w:type="fixed"/>
        <w:tblCellMar>
          <w:top w:w="0" w:type="dxa"/>
          <w:left w:w="0" w:type="dxa"/>
          <w:bottom w:w="0" w:type="dxa"/>
          <w:right w:w="0" w:type="dxa"/>
        </w:tblCellMar>
      </w:tblPr>
      <w:tblGrid>
        <w:gridCol w:w="3091"/>
        <w:gridCol w:w="346"/>
        <w:gridCol w:w="736"/>
        <w:gridCol w:w="547"/>
        <w:gridCol w:w="83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962785" cy="175260"/>
                      <wp:effectExtent l="0" t="0" r="0" b="0"/>
                      <wp:wrapNone/>
                      <wp:docPr id="143" name="Frame143"/>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67360" cy="175260"/>
                      <wp:effectExtent l="0" t="0" r="0" b="0"/>
                      <wp:wrapNone/>
                      <wp:docPr id="145" name="Frame14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347345" cy="175260"/>
                      <wp:effectExtent l="0" t="0" r="0" b="0"/>
                      <wp:wrapNone/>
                      <wp:docPr id="146" name="Frame146"/>
                      <a:graphic xmlns:a="http://schemas.openxmlformats.org/drawingml/2006/main">
                        <a:graphicData uri="http://schemas.microsoft.com/office/word/2010/wordprocessingShape">
                          <wps:wsp>
                            <wps:cNvSpPr txBox="1"/>
                            <wps:spPr>
                              <a:xfrm>
                                <a:off x="0" y="0"/>
                                <a:ext cx="347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27685" cy="175260"/>
                      <wp:effectExtent l="0" t="0" r="0" b="0"/>
                      <wp:wrapNone/>
                      <wp:docPr id="147" name="Frame147"/>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47" w:type="dxa"/>
            <w:tcBorders/>
            <w:vAlign w:val="center"/>
          </w:tcPr>
          <w:p>
            <w:pPr>
              <w:pStyle w:val="TableContents"/>
              <w:bidi w:val="0"/>
              <w:spacing w:before="0" w:after="1"/>
              <w:ind w:left="0" w:right="0" w:hanging="0"/>
              <w:jc w:val="left"/>
              <w:rPr/>
            </w:pPr>
            <w:r>
              <w:rPr/>
              <w:t>  ​ ​ ​</w:t>
            </w:r>
          </w:p>
        </w:tc>
        <w:tc>
          <w:tcPr>
            <w:tcW w:w="8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Hotel operating costs</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547" w:type="dxa"/>
            <w:tcBorders/>
            <w:shd w:fill="CCEEFF" w:val="clear"/>
            <w:vAlign w:val="center"/>
          </w:tcPr>
          <w:p>
            <w:pPr>
              <w:pStyle w:val="TableContents"/>
              <w:bidi w:val="0"/>
              <w:spacing w:before="0" w:after="1"/>
              <w:ind w:left="0" w:right="0" w:hanging="0"/>
              <w:jc w:val="left"/>
              <w:rPr/>
            </w:pPr>
            <w:r>
              <w:rPr/>
              <w:t>​</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547"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w:t>
            </w:r>
          </w:p>
        </w:tc>
        <w:tc>
          <w:tcPr>
            <w:tcW w:w="547" w:type="dxa"/>
            <w:tcBorders/>
            <w:shd w:fill="CCEEFF" w:val="clear"/>
            <w:vAlign w:val="center"/>
          </w:tcPr>
          <w:p>
            <w:pPr>
              <w:pStyle w:val="TableContents"/>
              <w:bidi w:val="0"/>
              <w:spacing w:before="0" w:after="1"/>
              <w:ind w:left="0" w:right="0" w:hanging="0"/>
              <w:jc w:val="lef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 </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w:t>
            </w:r>
          </w:p>
        </w:tc>
        <w:tc>
          <w:tcPr>
            <w:tcW w:w="547" w:type="dxa"/>
            <w:tcBorders/>
            <w:vAlign w:val="center"/>
          </w:tcPr>
          <w:p>
            <w:pPr>
              <w:pStyle w:val="TableContents"/>
              <w:bidi w:val="0"/>
              <w:spacing w:before="0" w:after="1"/>
              <w:ind w:left="0" w:right="0" w:hanging="0"/>
              <w:jc w:val="left"/>
              <w:rPr/>
            </w:pPr>
            <w:r>
              <w:rPr/>
              <w:t>​</w:t>
            </w:r>
          </w:p>
        </w:tc>
        <w:tc>
          <w:tcPr>
            <w:tcW w:w="83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265</w:t>
            </w:r>
          </w:p>
        </w:tc>
      </w:tr>
    </w:tbl>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37" w:name="Tc_mWMt2O64h0uFP-4ZWbajsA_4_0"/>
      <w:bookmarkStart w:id="1038" w:name="Tc_qjTDQLcBzEOsiCHHJN16rA_3_4"/>
      <w:bookmarkStart w:id="1039" w:name="Tc_WiDtUW-nJESPmZ4XMgCsQg_3_2"/>
      <w:bookmarkStart w:id="1040" w:name="Tc_IHmYmh3MyEazxe0cBWqsVw_2_4"/>
      <w:bookmarkStart w:id="1041" w:name="Tc_1PVRCbE_cE6iQ3iZPXrRqQ_2_2"/>
      <w:bookmarkStart w:id="1042" w:name="Tc_NLCDJqyAikyG2y5bMQGqTg_1_2"/>
      <w:bookmarkStart w:id="1043" w:name="Tc_hvkppkSr30WeGSOlor6dKg_11_0"/>
      <w:bookmarkStart w:id="1044" w:name="Tc_6YUk_Urj_0yDkDeM1aTDhw_10_0"/>
      <w:bookmarkStart w:id="1045" w:name="Tc_UKYcs3Ei70SBsBjDWqzs8g_9_0"/>
      <w:bookmarkStart w:id="1046" w:name="Tc_U4s9QJDtKEeJlDuaaKy9Gw_8_0"/>
      <w:bookmarkStart w:id="1047" w:name="Tc_52PByM7QNEubmOJQADpTFA_7_0"/>
      <w:bookmarkStart w:id="1048" w:name="Tc_D6owRCX2AUSB7ZYuHbvESw_6_0"/>
      <w:bookmarkStart w:id="1049" w:name="Tc_a8_yCg3_tUeBtViT9X491Q_5_0"/>
      <w:bookmarkStart w:id="1050" w:name="Tc_WdbSaqSax0WEgIkN5I4edg_4_0"/>
      <w:bookmarkStart w:id="1051" w:name="Tc_fWK58R55cky5az4YyNaCcg_3_0"/>
      <w:bookmarkStart w:id="1052" w:name="Tc_OOD0I08icUOlOHao2AdqgQ_2_4"/>
      <w:bookmarkStart w:id="1053" w:name="Tc_OyExqLeLekS8Q5xNAF6F0Q_2_2"/>
      <w:bookmarkStart w:id="1054" w:name="Tc_YPbWUHSCWEm80iVxuSqD7w_1_2"/>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r>
        <w:rPr>
          <w:rFonts w:ascii="Times New Roman;Times;serif" w:hAnsi="Times New Roman;Times;serif"/>
          <w:b/>
          <w:i w:val="false"/>
          <w:caps w:val="false"/>
          <w:smallCaps w:val="false"/>
          <w:sz w:val="20"/>
        </w:rPr>
        <w:t>12.</w:t>
      </w:r>
      <w:r>
        <w:rPr>
          <w:rFonts w:ascii="Times New Roman;Times;serif" w:hAnsi="Times New Roman;Times;serif"/>
          <w:b/>
          <w:sz w:val="20"/>
        </w:rPr>
        <w:t xml:space="preserve"> EARNINGS PER SHARE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computation of basic and diluted earnings per share for the six months ended June 30, 2025 and 2026 indicated:</w:t>
      </w:r>
    </w:p>
    <w:p>
      <w:pPr>
        <w:pStyle w:val="TextBody"/>
        <w:bidi w:val="0"/>
        <w:spacing w:before="0" w:after="24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6886"/>
        <w:gridCol w:w="346"/>
        <w:gridCol w:w="1291"/>
        <w:gridCol w:w="346"/>
        <w:gridCol w:w="1336"/>
      </w:tblGrid>
      <w:tr>
        <w:trPr/>
        <w:tc>
          <w:tcPr>
            <w:tcW w:w="6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372610" cy="175260"/>
                      <wp:effectExtent l="0" t="0" r="0" b="0"/>
                      <wp:wrapNone/>
                      <wp:docPr id="148" name="Frame148"/>
                      <a:graphic xmlns:a="http://schemas.openxmlformats.org/drawingml/2006/main">
                        <a:graphicData uri="http://schemas.microsoft.com/office/word/2010/wordprocessingShape">
                          <wps:wsp>
                            <wps:cNvSpPr txBox="1"/>
                            <wps:spPr>
                              <a:xfrm>
                                <a:off x="0" y="0"/>
                                <a:ext cx="437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819785" cy="175260"/>
                      <wp:effectExtent l="0" t="0" r="0" b="0"/>
                      <wp:wrapNone/>
                      <wp:docPr id="150" name="Frame150"/>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848360" cy="175260"/>
                      <wp:effectExtent l="0" t="0" r="0" b="0"/>
                      <wp:wrapNone/>
                      <wp:docPr id="152" name="Frame152"/>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97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6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3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68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ordinary shareholders — basic</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2,438</w:t>
            </w:r>
          </w:p>
        </w:tc>
        <w:tc>
          <w:tcPr>
            <w:tcW w:w="346" w:type="dxa"/>
            <w:tcBorders/>
            <w:shd w:fill="CCEEFF" w:val="clear"/>
            <w:vAlign w:val="center"/>
          </w:tcPr>
          <w:p>
            <w:pPr>
              <w:pStyle w:val="TableContents"/>
              <w:bidi w:val="0"/>
              <w:spacing w:before="0" w:after="1"/>
              <w:ind w:left="0" w:right="0" w:hanging="0"/>
              <w:jc w:val="left"/>
              <w:rPr/>
            </w:pPr>
            <w:r>
              <w:rPr/>
              <w:t>​</w:t>
            </w:r>
          </w:p>
        </w:tc>
        <w:tc>
          <w:tcPr>
            <w:tcW w:w="13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2,394</w:t>
            </w:r>
          </w:p>
        </w:tc>
      </w:tr>
      <w:tr>
        <w:trPr/>
        <w:tc>
          <w:tcPr>
            <w:tcW w:w="688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Eliminate the dilutive effect of interest expense of convertible senior notes</w:t>
            </w:r>
          </w:p>
        </w:tc>
        <w:tc>
          <w:tcPr>
            <w:tcW w:w="346" w:type="dxa"/>
            <w:tcBorders/>
            <w:vAlign w:val="center"/>
          </w:tcPr>
          <w:p>
            <w:pPr>
              <w:pStyle w:val="TableContents"/>
              <w:bidi w:val="0"/>
              <w:spacing w:before="0" w:after="1"/>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vAlign w:val="center"/>
          </w:tcPr>
          <w:p>
            <w:pPr>
              <w:pStyle w:val="TableContents"/>
              <w:bidi w:val="0"/>
              <w:spacing w:before="0" w:after="1"/>
              <w:ind w:left="0" w:right="0" w:hanging="0"/>
              <w:jc w:val="left"/>
              <w:rPr/>
            </w:pPr>
            <w:r>
              <w:rPr/>
              <w:t>​</w:t>
            </w:r>
          </w:p>
        </w:tc>
        <w:tc>
          <w:tcPr>
            <w:tcW w:w="13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68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attributable to ordinary shareholders — diluted</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2,492</w:t>
            </w:r>
          </w:p>
        </w:tc>
        <w:tc>
          <w:tcPr>
            <w:tcW w:w="346" w:type="dxa"/>
            <w:tcBorders/>
            <w:shd w:fill="CCEEFF" w:val="clear"/>
            <w:vAlign w:val="center"/>
          </w:tcPr>
          <w:p>
            <w:pPr>
              <w:pStyle w:val="TableContents"/>
              <w:bidi w:val="0"/>
              <w:spacing w:before="0" w:after="1"/>
              <w:ind w:left="0" w:right="0" w:hanging="0"/>
              <w:jc w:val="left"/>
              <w:rPr/>
            </w:pPr>
            <w:r>
              <w:rPr/>
              <w:t>​</w:t>
            </w:r>
          </w:p>
        </w:tc>
        <w:tc>
          <w:tcPr>
            <w:tcW w:w="13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2,428</w:t>
            </w:r>
          </w:p>
        </w:tc>
      </w:tr>
      <w:tr>
        <w:trPr/>
        <w:tc>
          <w:tcPr>
            <w:tcW w:w="688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ordinary shares outstanding — basic</w:t>
            </w:r>
          </w:p>
        </w:tc>
        <w:tc>
          <w:tcPr>
            <w:tcW w:w="346" w:type="dxa"/>
            <w:tcBorders/>
            <w:vAlign w:val="center"/>
          </w:tcPr>
          <w:p>
            <w:pPr>
              <w:pStyle w:val="TableContents"/>
              <w:bidi w:val="0"/>
              <w:spacing w:before="0" w:after="1"/>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3,069,285,390</w:t>
            </w:r>
          </w:p>
        </w:tc>
        <w:tc>
          <w:tcPr>
            <w:tcW w:w="346" w:type="dxa"/>
            <w:tcBorders/>
            <w:vAlign w:val="center"/>
          </w:tcPr>
          <w:p>
            <w:pPr>
              <w:pStyle w:val="TableContents"/>
              <w:bidi w:val="0"/>
              <w:spacing w:before="0" w:after="1"/>
              <w:ind w:left="0" w:right="0" w:hanging="0"/>
              <w:jc w:val="left"/>
              <w:rPr/>
            </w:pPr>
            <w:r>
              <w:rPr/>
              <w:t>​</w:t>
            </w:r>
          </w:p>
        </w:tc>
        <w:tc>
          <w:tcPr>
            <w:tcW w:w="13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3,113,494,317</w:t>
            </w:r>
          </w:p>
        </w:tc>
      </w:tr>
      <w:tr>
        <w:trPr/>
        <w:tc>
          <w:tcPr>
            <w:tcW w:w="68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Incremental weighted-average ordinary shares from assumed exercise of share options and nonvested restricted stocks using the treasury stock method</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38,725,481</w:t>
            </w:r>
          </w:p>
        </w:tc>
        <w:tc>
          <w:tcPr>
            <w:tcW w:w="346" w:type="dxa"/>
            <w:tcBorders/>
            <w:shd w:fill="CCEEFF" w:val="clear"/>
            <w:vAlign w:val="center"/>
          </w:tcPr>
          <w:p>
            <w:pPr>
              <w:pStyle w:val="TableContents"/>
              <w:bidi w:val="0"/>
              <w:spacing w:before="0" w:after="1"/>
              <w:ind w:left="0" w:right="0" w:hanging="0"/>
              <w:jc w:val="left"/>
              <w:rPr/>
            </w:pPr>
            <w:r>
              <w:rPr/>
              <w:t>​</w:t>
            </w:r>
          </w:p>
        </w:tc>
        <w:tc>
          <w:tcPr>
            <w:tcW w:w="13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60,537,797</w:t>
            </w:r>
          </w:p>
        </w:tc>
      </w:tr>
      <w:tr>
        <w:trPr/>
        <w:tc>
          <w:tcPr>
            <w:tcW w:w="688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effect of convertible senior notes</w:t>
            </w:r>
          </w:p>
        </w:tc>
        <w:tc>
          <w:tcPr>
            <w:tcW w:w="346" w:type="dxa"/>
            <w:tcBorders/>
            <w:vAlign w:val="center"/>
          </w:tcPr>
          <w:p>
            <w:pPr>
              <w:pStyle w:val="TableContents"/>
              <w:bidi w:val="0"/>
              <w:spacing w:before="0" w:after="1"/>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130,786,730</w:t>
            </w:r>
          </w:p>
        </w:tc>
        <w:tc>
          <w:tcPr>
            <w:tcW w:w="346" w:type="dxa"/>
            <w:tcBorders/>
            <w:vAlign w:val="center"/>
          </w:tcPr>
          <w:p>
            <w:pPr>
              <w:pStyle w:val="TableContents"/>
              <w:bidi w:val="0"/>
              <w:spacing w:before="0" w:after="1"/>
              <w:ind w:left="0" w:right="0" w:hanging="0"/>
              <w:jc w:val="left"/>
              <w:rPr/>
            </w:pPr>
            <w:r>
              <w:rPr/>
              <w:t>​</w:t>
            </w:r>
          </w:p>
        </w:tc>
        <w:tc>
          <w:tcPr>
            <w:tcW w:w="13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88,585,346</w:t>
            </w:r>
          </w:p>
        </w:tc>
      </w:tr>
      <w:tr>
        <w:trPr/>
        <w:tc>
          <w:tcPr>
            <w:tcW w:w="68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ordinary shares outstanding — diluted</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3,238,797,601</w:t>
            </w:r>
          </w:p>
        </w:tc>
        <w:tc>
          <w:tcPr>
            <w:tcW w:w="346" w:type="dxa"/>
            <w:tcBorders/>
            <w:shd w:fill="CCEEFF" w:val="clear"/>
            <w:vAlign w:val="center"/>
          </w:tcPr>
          <w:p>
            <w:pPr>
              <w:pStyle w:val="TableContents"/>
              <w:bidi w:val="0"/>
              <w:spacing w:before="0" w:after="1"/>
              <w:ind w:left="0" w:right="0" w:hanging="0"/>
              <w:jc w:val="left"/>
              <w:rPr/>
            </w:pPr>
            <w:r>
              <w:rPr/>
              <w:t>​</w:t>
            </w:r>
          </w:p>
        </w:tc>
        <w:tc>
          <w:tcPr>
            <w:tcW w:w="13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3,262,617,460</w:t>
            </w:r>
          </w:p>
        </w:tc>
      </w:tr>
      <w:tr>
        <w:trPr/>
        <w:tc>
          <w:tcPr>
            <w:tcW w:w="688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46" w:type="dxa"/>
            <w:tcBorders/>
            <w:vAlign w:val="center"/>
          </w:tcPr>
          <w:p>
            <w:pPr>
              <w:pStyle w:val="TableContents"/>
              <w:bidi w:val="0"/>
              <w:spacing w:before="0" w:after="1"/>
              <w:ind w:left="0" w:right="0" w:hanging="0"/>
              <w:jc w:val="left"/>
              <w:rPr/>
            </w:pPr>
            <w:r>
              <w:rPr/>
              <w:t> </w:t>
            </w:r>
          </w:p>
        </w:tc>
        <w:tc>
          <w:tcPr>
            <w:tcW w:w="12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0.79</w:t>
            </w:r>
          </w:p>
        </w:tc>
        <w:tc>
          <w:tcPr>
            <w:tcW w:w="346" w:type="dxa"/>
            <w:tcBorders/>
            <w:vAlign w:val="center"/>
          </w:tcPr>
          <w:p>
            <w:pPr>
              <w:pStyle w:val="TableContents"/>
              <w:bidi w:val="0"/>
              <w:spacing w:before="0" w:after="1"/>
              <w:ind w:left="0" w:right="0" w:hanging="0"/>
              <w:jc w:val="left"/>
              <w:rPr/>
            </w:pPr>
            <w:r>
              <w:rPr/>
              <w:t> </w:t>
            </w:r>
          </w:p>
        </w:tc>
        <w:tc>
          <w:tcPr>
            <w:tcW w:w="13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0.77</w:t>
            </w:r>
          </w:p>
        </w:tc>
      </w:tr>
      <w:tr>
        <w:trPr/>
        <w:tc>
          <w:tcPr>
            <w:tcW w:w="688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 earnings per share</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0.77</w:t>
            </w:r>
          </w:p>
        </w:tc>
        <w:tc>
          <w:tcPr>
            <w:tcW w:w="346" w:type="dxa"/>
            <w:tcBorders/>
            <w:shd w:fill="CCEEFF" w:val="clear"/>
            <w:vAlign w:val="center"/>
          </w:tcPr>
          <w:p>
            <w:pPr>
              <w:pStyle w:val="TableContents"/>
              <w:bidi w:val="0"/>
              <w:spacing w:before="0" w:after="1"/>
              <w:ind w:left="0" w:right="0" w:hanging="0"/>
              <w:jc w:val="left"/>
              <w:rPr/>
            </w:pPr>
            <w:r>
              <w:rPr/>
              <w:t> </w:t>
            </w:r>
          </w:p>
        </w:tc>
        <w:tc>
          <w:tcPr>
            <w:tcW w:w="13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0.74</w:t>
            </w:r>
          </w:p>
        </w:tc>
      </w:tr>
    </w:tbl>
    <w:p>
      <w:pPr>
        <w:pStyle w:val="TextBody"/>
        <w:bidi w:val="0"/>
        <w:spacing w:before="0" w:after="24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six months ended June 30, 2025 and 2026, the Group had securities which could potentially dilute basic earnings per share in the future, but which were excluded from the computation of diluted earnings per share as their effects would have been anti-dilutive. Such outstanding securities consist of the following at non-weighted basis:</w:t>
      </w:r>
    </w:p>
    <w:p>
      <w:pPr>
        <w:pStyle w:val="TextBody"/>
        <w:bidi w:val="0"/>
        <w:spacing w:before="0" w:after="240"/>
        <w:ind w:left="0" w:right="0" w:firstLine="360"/>
        <w:jc w:val="left"/>
        <w:rPr/>
      </w:pPr>
      <w:r>
        <w:rPr/>
        <w:t>​</w:t>
      </w:r>
    </w:p>
    <w:tbl>
      <w:tblPr>
        <w:tblW w:w="7910" w:type="dxa"/>
        <w:jc w:val="left"/>
        <w:tblInd w:w="0" w:type="dxa"/>
        <w:tblLayout w:type="fixed"/>
        <w:tblCellMar>
          <w:top w:w="0" w:type="dxa"/>
          <w:left w:w="0" w:type="dxa"/>
          <w:bottom w:w="0" w:type="dxa"/>
          <w:right w:w="0" w:type="dxa"/>
        </w:tblCellMar>
      </w:tblPr>
      <w:tblGrid>
        <w:gridCol w:w="5206"/>
        <w:gridCol w:w="286"/>
        <w:gridCol w:w="1036"/>
        <w:gridCol w:w="346"/>
        <w:gridCol w:w="1036"/>
      </w:tblGrid>
      <w:tr>
        <w:trPr/>
        <w:tc>
          <w:tcPr>
            <w:tcW w:w="5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305810" cy="175260"/>
                      <wp:effectExtent l="0" t="0" r="0" b="0"/>
                      <wp:wrapNone/>
                      <wp:docPr id="153" name="Frame153"/>
                      <a:graphic xmlns:a="http://schemas.openxmlformats.org/drawingml/2006/main">
                        <a:graphicData uri="http://schemas.microsoft.com/office/word/2010/wordprocessingShape">
                          <wps:wsp>
                            <wps:cNvSpPr txBox="1"/>
                            <wps:spPr>
                              <a:xfrm>
                                <a:off x="0" y="0"/>
                                <a:ext cx="3305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81610" cy="175260"/>
                      <wp:effectExtent l="0" t="0" r="0" b="0"/>
                      <wp:wrapNone/>
                      <wp:docPr id="154" name="Frame15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57860" cy="175260"/>
                      <wp:effectExtent l="0" t="0" r="0" b="0"/>
                      <wp:wrapNone/>
                      <wp:docPr id="155" name="Frame15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57860" cy="175260"/>
                      <wp:effectExtent l="0" t="0" r="0" b="0"/>
                      <wp:wrapNone/>
                      <wp:docPr id="157" name="Frame15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241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520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2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employee options and nonvested restricted stocks</w:t>
            </w:r>
          </w:p>
        </w:tc>
        <w:tc>
          <w:tcPr>
            <w:tcW w:w="286" w:type="dxa"/>
            <w:tcBorders/>
            <w:shd w:fill="CCEEFF" w:val="clear"/>
            <w:vAlign w:val="center"/>
          </w:tcPr>
          <w:p>
            <w:pPr>
              <w:pStyle w:val="TableContents"/>
              <w:bidi w:val="0"/>
              <w:spacing w:before="0" w:after="0"/>
              <w:ind w:left="0" w:right="0" w:hanging="0"/>
              <w:jc w:val="center"/>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39,413,700</w:t>
            </w:r>
          </w:p>
        </w:tc>
        <w:tc>
          <w:tcPr>
            <w:tcW w:w="346" w:type="dxa"/>
            <w:tcBorders/>
            <w:shd w:fill="CCEEFF" w:val="clear"/>
            <w:vAlign w:val="center"/>
          </w:tcPr>
          <w:p>
            <w:pPr>
              <w:pStyle w:val="TableContents"/>
              <w:bidi w:val="0"/>
              <w:spacing w:before="0" w:after="0"/>
              <w:ind w:left="0" w:right="0" w:hanging="0"/>
              <w:jc w:val="center"/>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5,132,930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SEGMENT</w:t>
      </w:r>
    </w:p>
    <w:p>
      <w:pPr>
        <w:pStyle w:val="TextBody"/>
        <w:bidi w:val="0"/>
        <w:spacing w:before="0" w:after="24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chief operating decision maker (“CODM”) has been identified as the chief executive officer. As of December 31, 2025, the Group had two operating segments which were Legacy Huazhu and Legacy DH according to the way management intends to evaluate results and allocate resources within the Group. In 2026, the operating segments were relabeled to HWC and HWI, replacing the previous legacy designations. Additionally, a minor realignment between these two segments was made in 2026, and comparative figures for prior periods were updated to conform to the current presentation. In identifying its reportable segments, the Group assesses the nature of operating segments and evaluates the operating results of each reporting segment. Both operating segments meet the quantitative thresholds and should be considered as two reportable segments. The CODM uses revenue and Adjusted EBITDA to evaluate the trends of the segments over time and monitor budget-to-actual variances to assess the performance and determine how to allocate capital resources. Adjusted EBITDA is defined as net income attributable to H World Group Limited excluding income tax expense (benefit), interest expense, interest income, depreciation and amortization, share-based compensation expenses, gain (loss) from fair value changes of equity securities, foreign exchange gain (loss) and gain (loss) on disposal of investments. Significant segment expenses include adjusted hotel operating costs, adjusted selling and marketing expenses, adjusted general and administrative expenses, all of which exclude depreciation and amortization and share-based compensation expenses. The CODM does not use assets by operating segment when assessing performance or making operating segment resource allocations.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055" w:name="Tc_vkAy_uEGHk6eShAiddWjiA_7_0"/>
      <w:bookmarkStart w:id="1056" w:name="Tc_bVbUz6Bi2EaNiCsVppDxmw_6_0"/>
      <w:bookmarkStart w:id="1057" w:name="Tc_dGycDpT5_E6i5cepw-TKqw_5_0"/>
      <w:bookmarkStart w:id="1058" w:name="Tc_qQjW5KUp2UC3YLGh3O8q-w_4_0"/>
      <w:bookmarkStart w:id="1059" w:name="Tc_bLigYo5iokK1r5l2eGrMqg_3_4"/>
      <w:bookmarkStart w:id="1060" w:name="Tc_psZQlOKo2kSDFCFcpXs-VA_3_2"/>
      <w:bookmarkStart w:id="1061" w:name="Tc_-6D9uhfiIkixwFGca4Bkqw_2_4"/>
      <w:bookmarkStart w:id="1062" w:name="Tc_3qR7_lEU70yPTFudWg8Sfg_2_2"/>
      <w:bookmarkStart w:id="1063" w:name="Tc_eqYX4IZ_2k-wc7vxyhGVAg_1_2"/>
      <w:bookmarkStart w:id="1064" w:name="_94638403_ef8f_45fd_8915_6f3474b00664"/>
      <w:bookmarkStart w:id="1065" w:name="Tc_Z12vcYDqT0iNpHlb_X2o0Q_6_0"/>
      <w:bookmarkStart w:id="1066" w:name="Tc_ZxE2UjFR7kSa35IQIvlTgw_5_0"/>
      <w:bookmarkStart w:id="1067" w:name="Tc_uEpKbdlfM0KLCmJYBPQ4eA_4_0"/>
      <w:bookmarkStart w:id="1068" w:name="Tc_Oh3RZ2VWa06Np-llCo_QWA_3_0"/>
      <w:bookmarkStart w:id="1069" w:name="Tc_44JXqST-r0SFwcCfNda1UQ_2_4"/>
      <w:bookmarkStart w:id="1070" w:name="Tc_Kkv9yR2W7kKxsfNOsFbuYg_2_2"/>
      <w:bookmarkStart w:id="1071" w:name="Tc_EPWvroxFBkiEQCqycsKOcQ_1_2"/>
      <w:bookmarkStart w:id="1072" w:name="Tc_u4TL0E2BZ0Gr9LVkcP_1xQ_1_0"/>
      <w:bookmarkStart w:id="1073" w:name="Tc_nBTU6AWWSEW-SGmlgkU7lA_20_0"/>
      <w:bookmarkStart w:id="1074" w:name="Tc_UxWQsw0so0C7WuEIYQp3tg_19_0"/>
      <w:bookmarkStart w:id="1075" w:name="Tc_ci3wa0L4H0mXdIboQvu-UA_18_0"/>
      <w:bookmarkStart w:id="1076" w:name="Tc_rkzi7E30iUOjsvuK3_GzNg_17_0"/>
      <w:bookmarkStart w:id="1077" w:name="Tc_sgdW4ZHAC0iQQHFn-cLhMg_16_0"/>
      <w:bookmarkStart w:id="1078" w:name="Tc_sctujlsFxEWrCAVnZCqhTw_15_0"/>
      <w:bookmarkStart w:id="1079" w:name="Tc_xTPhepZcmky69Q_Ob1ldqw_14_0"/>
      <w:bookmarkStart w:id="1080" w:name="Tc_M4t51szuhkeY8Ms_HqwIYg_13_0"/>
      <w:bookmarkStart w:id="1081" w:name="Tc_6_j3dr0gXEmsVIFzR3MiFQ_12_14"/>
      <w:bookmarkStart w:id="1082" w:name="Tc_MhNdO8tbNkunOpEDKy1m9Q_12_6"/>
      <w:bookmarkStart w:id="1083" w:name="Tc_QTFZ0jLL0UqKOZM8PpZ82g_12_0"/>
      <w:bookmarkStart w:id="1084" w:name="Tc_7WUWPnTilUCBTuCqSqp-wA_11_0"/>
      <w:bookmarkStart w:id="1085" w:name="Tc_Kahl0C50hUO0PWVBwUkckw_10_0"/>
      <w:bookmarkStart w:id="1086" w:name="Tc_UMQM02twOEqpY1QVdbeakg_9_0"/>
      <w:bookmarkStart w:id="1087" w:name="Tc_lk1FpbNMYU2_vR4ucdFEJA_8_0"/>
      <w:bookmarkStart w:id="1088" w:name="Tc_NrhMg0YCvkiU2Zvu6OAapg_7_0"/>
      <w:bookmarkStart w:id="1089" w:name="Tc_G3eeLw1XHUi_FSuHv7uLLw_6_14"/>
      <w:bookmarkStart w:id="1090" w:name="Tc_a0SgR2z100uMyrqB2QACQA_6_0"/>
      <w:bookmarkStart w:id="1091" w:name="Tc_vta-ydzNSkScBp-hctp7Aw_5_0"/>
      <w:bookmarkStart w:id="1092" w:name="Tc_KzNzq9b8qUSAqlrB-5MCww_4_14"/>
      <w:bookmarkStart w:id="1093" w:name="Tc_sJLAo5thEkSQRhW81wRsMA_4_6"/>
      <w:bookmarkStart w:id="1094" w:name="Tc_WlcDUD4zuEaGJkWUsLOkYw_4_0"/>
      <w:bookmarkStart w:id="1095" w:name="Tc_UdSXxid3f06lx2nFadwj2w_3_16"/>
      <w:bookmarkStart w:id="1096" w:name="Tc_u5PtI2YmXU25ByhVEYKM1g_3_14"/>
      <w:bookmarkStart w:id="1097" w:name="Tc_Q098t8z9gkOM51JPsY0Bmg_3_12"/>
      <w:bookmarkStart w:id="1098" w:name="Tc_hctQG7YQY0ygwQipQ4cB4g_3_10"/>
      <w:bookmarkStart w:id="1099" w:name="Tc_kbboGCHLyECGzzZ2_MFgZg_3_8"/>
      <w:bookmarkStart w:id="1100" w:name="Tc_zMcrU1XgpEShYJlJ26BIVQ_3_6"/>
      <w:bookmarkStart w:id="1101" w:name="Tc_UMSPx71HlUCpUOKjTTTzLA_3_4"/>
      <w:bookmarkStart w:id="1102" w:name="Tc_cw_z8702VkW4l9_VxLa3ig_3_2"/>
      <w:bookmarkStart w:id="1103" w:name="Tc_3NX_c4Nt9kKxFxYhgkpGYQ_2_10"/>
      <w:bookmarkStart w:id="1104" w:name="Tc_js4gwnf3JEanUuiooj4iwQ_2_2"/>
      <w:bookmarkStart w:id="1105" w:name="Tc_lxcFHZtLVUaTmOjAVYur6w_1_2"/>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r>
        <w:rPr>
          <w:rFonts w:ascii="Times New Roman;Times;serif" w:hAnsi="Times New Roman;Times;serif"/>
          <w:sz w:val="20"/>
        </w:rPr>
        <w:t>The following table provides a summary of the Group’s operating segment results and reconciliation of Adjusted EBITDA to net income attributable to H World Group Limited for the six months ended June 30, 2025 and 2026.</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16"/>
        <w:gridCol w:w="346"/>
        <w:gridCol w:w="606"/>
        <w:gridCol w:w="146"/>
        <w:gridCol w:w="606"/>
        <w:gridCol w:w="109"/>
        <w:gridCol w:w="946"/>
        <w:gridCol w:w="146"/>
        <w:gridCol w:w="601"/>
        <w:gridCol w:w="146"/>
        <w:gridCol w:w="618"/>
        <w:gridCol w:w="146"/>
        <w:gridCol w:w="606"/>
        <w:gridCol w:w="109"/>
        <w:gridCol w:w="946"/>
        <w:gridCol w:w="146"/>
        <w:gridCol w:w="66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05660" cy="175260"/>
                      <wp:effectExtent l="0" t="0" r="0" b="0"/>
                      <wp:wrapNone/>
                      <wp:docPr id="158" name="Frame158"/>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84810" cy="175260"/>
                      <wp:effectExtent l="0" t="0" r="0" b="0"/>
                      <wp:wrapNone/>
                      <wp:docPr id="160" name="Frame160"/>
                      <a:graphic xmlns:a="http://schemas.openxmlformats.org/drawingml/2006/main">
                        <a:graphicData uri="http://schemas.microsoft.com/office/word/2010/wordprocessingShape">
                          <wps:wsp>
                            <wps:cNvSpPr txBox="1"/>
                            <wps:spPr>
                              <a:xfrm>
                                <a:off x="0" y="0"/>
                                <a:ext cx="384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92710" cy="175260"/>
                      <wp:effectExtent l="0" t="0" r="0" b="0"/>
                      <wp:wrapNone/>
                      <wp:docPr id="161" name="Frame16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84810" cy="175260"/>
                      <wp:effectExtent l="0" t="0" r="0" b="0"/>
                      <wp:wrapNone/>
                      <wp:docPr id="162" name="Frame162"/>
                      <a:graphic xmlns:a="http://schemas.openxmlformats.org/drawingml/2006/main">
                        <a:graphicData uri="http://schemas.microsoft.com/office/word/2010/wordprocessingShape">
                          <wps:wsp>
                            <wps:cNvSpPr txBox="1"/>
                            <wps:spPr>
                              <a:xfrm>
                                <a:off x="0" y="0"/>
                                <a:ext cx="384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9215" cy="175260"/>
                      <wp:effectExtent l="0" t="0" r="0" b="0"/>
                      <wp:wrapNone/>
                      <wp:docPr id="163" name="Frame1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92710" cy="175260"/>
                      <wp:effectExtent l="0" t="0" r="0" b="0"/>
                      <wp:wrapNone/>
                      <wp:docPr id="164" name="Frame16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81635" cy="175260"/>
                      <wp:effectExtent l="0" t="0" r="0" b="0"/>
                      <wp:wrapNone/>
                      <wp:docPr id="165" name="Frame16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92710" cy="175260"/>
                      <wp:effectExtent l="0" t="0" r="0" b="0"/>
                      <wp:wrapNone/>
                      <wp:docPr id="166" name="Frame16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92430" cy="175260"/>
                      <wp:effectExtent l="0" t="0" r="0" b="0"/>
                      <wp:wrapNone/>
                      <wp:docPr id="167" name="Frame167"/>
                      <a:graphic xmlns:a="http://schemas.openxmlformats.org/drawingml/2006/main">
                        <a:graphicData uri="http://schemas.microsoft.com/office/word/2010/wordprocessingShape">
                          <wps:wsp>
                            <wps:cNvSpPr txBox="1"/>
                            <wps:spPr>
                              <a:xfrm>
                                <a:off x="0" y="0"/>
                                <a:ext cx="392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92710" cy="175260"/>
                      <wp:effectExtent l="0" t="0" r="0" b="0"/>
                      <wp:wrapNone/>
                      <wp:docPr id="168" name="Frame16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384810" cy="175260"/>
                      <wp:effectExtent l="0" t="0" r="0" b="0"/>
                      <wp:wrapNone/>
                      <wp:docPr id="169" name="Frame169"/>
                      <a:graphic xmlns:a="http://schemas.openxmlformats.org/drawingml/2006/main">
                        <a:graphicData uri="http://schemas.microsoft.com/office/word/2010/wordprocessingShape">
                          <wps:wsp>
                            <wps:cNvSpPr txBox="1"/>
                            <wps:spPr>
                              <a:xfrm>
                                <a:off x="0" y="0"/>
                                <a:ext cx="384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9215" cy="175260"/>
                      <wp:effectExtent l="0" t="0" r="0" b="0"/>
                      <wp:wrapNone/>
                      <wp:docPr id="170" name="Frame1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00710" cy="175260"/>
                      <wp:effectExtent l="0" t="0" r="0" b="0"/>
                      <wp:wrapNone/>
                      <wp:docPr id="171" name="Frame17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92710" cy="175260"/>
                      <wp:effectExtent l="0" t="0" r="0" b="0"/>
                      <wp:wrapNone/>
                      <wp:docPr id="172" name="Frame17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22910" cy="175260"/>
                      <wp:effectExtent l="0" t="0" r="0" b="0"/>
                      <wp:wrapNone/>
                      <wp:docPr id="173" name="Frame173"/>
                      <a:graphic xmlns:a="http://schemas.openxmlformats.org/drawingml/2006/main">
                        <a:graphicData uri="http://schemas.microsoft.com/office/word/2010/wordprocessingShape">
                          <wps:wsp>
                            <wps:cNvSpPr txBox="1"/>
                            <wps:spPr>
                              <a:xfrm>
                                <a:off x="0" y="0"/>
                                <a:ext cx="422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6543" w:type="dxa"/>
            <w:gridSpan w:val="1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33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160"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1"/>
              <w:ind w:left="0" w:right="0" w:hanging="0"/>
              <w:jc w:val="center"/>
              <w:rPr/>
            </w:pPr>
            <w:r>
              <w:rPr/>
              <w:t>​</w:t>
            </w:r>
          </w:p>
        </w:tc>
        <w:tc>
          <w:tcPr>
            <w:tcW w:w="323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3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HWC</w:t>
            </w:r>
          </w:p>
        </w:tc>
        <w:tc>
          <w:tcPr>
            <w:tcW w:w="146" w:type="dxa"/>
            <w:tcBorders/>
            <w:vAlign w:val="center"/>
          </w:tcPr>
          <w:p>
            <w:pPr>
              <w:pStyle w:val="TableContents"/>
              <w:bidi w:val="0"/>
              <w:spacing w:before="0" w:after="1"/>
              <w:ind w:left="0" w:right="0" w:hanging="0"/>
              <w:jc w:val="center"/>
              <w:rPr/>
            </w:pPr>
            <w:r>
              <w:rPr/>
              <w:t>​</w:t>
            </w:r>
          </w:p>
        </w:tc>
        <w:tc>
          <w:tcPr>
            <w:tcW w:w="6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HWI</w:t>
            </w:r>
          </w:p>
        </w:tc>
        <w:tc>
          <w:tcPr>
            <w:tcW w:w="109" w:type="dxa"/>
            <w:tcBorders/>
            <w:vAlign w:val="center"/>
          </w:tcPr>
          <w:p>
            <w:pPr>
              <w:pStyle w:val="TableContents"/>
              <w:bidi w:val="0"/>
              <w:spacing w:before="0" w:after="1"/>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Elimination</w:t>
            </w:r>
          </w:p>
        </w:tc>
        <w:tc>
          <w:tcPr>
            <w:tcW w:w="146" w:type="dxa"/>
            <w:tcBorders/>
            <w:vAlign w:val="center"/>
          </w:tcPr>
          <w:p>
            <w:pPr>
              <w:pStyle w:val="TableContents"/>
              <w:bidi w:val="0"/>
              <w:spacing w:before="0" w:after="1"/>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46" w:type="dxa"/>
            <w:tcBorders/>
            <w:vAlign w:val="center"/>
          </w:tcPr>
          <w:p>
            <w:pPr>
              <w:pStyle w:val="TableContents"/>
              <w:bidi w:val="0"/>
              <w:spacing w:before="0" w:after="1"/>
              <w:ind w:left="0" w:right="0" w:hanging="0"/>
              <w:jc w:val="center"/>
              <w:rPr/>
            </w:pPr>
            <w:r>
              <w:rPr/>
              <w:t>​</w:t>
            </w:r>
          </w:p>
        </w:tc>
        <w:tc>
          <w:tcPr>
            <w:tcW w:w="61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HWC</w:t>
            </w:r>
          </w:p>
        </w:tc>
        <w:tc>
          <w:tcPr>
            <w:tcW w:w="146" w:type="dxa"/>
            <w:tcBorders/>
            <w:vAlign w:val="center"/>
          </w:tcPr>
          <w:p>
            <w:pPr>
              <w:pStyle w:val="TableContents"/>
              <w:bidi w:val="0"/>
              <w:spacing w:before="0" w:after="1"/>
              <w:ind w:left="0" w:right="0" w:hanging="0"/>
              <w:jc w:val="center"/>
              <w:rPr/>
            </w:pPr>
            <w:r>
              <w:rPr/>
              <w:t>​</w:t>
            </w:r>
          </w:p>
        </w:tc>
        <w:tc>
          <w:tcPr>
            <w:tcW w:w="6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HWI</w:t>
            </w:r>
          </w:p>
        </w:tc>
        <w:tc>
          <w:tcPr>
            <w:tcW w:w="109" w:type="dxa"/>
            <w:tcBorders/>
            <w:vAlign w:val="center"/>
          </w:tcPr>
          <w:p>
            <w:pPr>
              <w:pStyle w:val="TableContents"/>
              <w:bidi w:val="0"/>
              <w:spacing w:before="0" w:after="1"/>
              <w:ind w:left="0" w:right="0" w:hanging="0"/>
              <w:jc w:val="center"/>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Elimination</w:t>
            </w:r>
          </w:p>
        </w:tc>
        <w:tc>
          <w:tcPr>
            <w:tcW w:w="146" w:type="dxa"/>
            <w:tcBorders/>
            <w:vAlign w:val="center"/>
          </w:tcPr>
          <w:p>
            <w:pPr>
              <w:pStyle w:val="TableContents"/>
              <w:bidi w:val="0"/>
              <w:spacing w:before="0" w:after="1"/>
              <w:ind w:left="0" w:right="0" w:hanging="0"/>
              <w:jc w:val="center"/>
              <w:rPr/>
            </w:pPr>
            <w:r>
              <w:rPr/>
              <w:t>​</w:t>
            </w:r>
          </w:p>
        </w:tc>
        <w:tc>
          <w:tcPr>
            <w:tcW w:w="6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3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Leased and owned hotels</w:t>
            </w:r>
          </w:p>
        </w:tc>
        <w:tc>
          <w:tcPr>
            <w:tcW w:w="346" w:type="dxa"/>
            <w:tcBorders/>
            <w:shd w:fill="CCEEFF" w:val="clear"/>
            <w:vAlign w:val="center"/>
          </w:tcPr>
          <w:p>
            <w:pPr>
              <w:pStyle w:val="TableContents"/>
              <w:bidi w:val="0"/>
              <w:spacing w:before="0" w:after="1"/>
              <w:ind w:left="0" w:right="0" w:hanging="0"/>
              <w:jc w:val="center"/>
              <w:rPr/>
            </w:pPr>
            <w:r>
              <w:rPr/>
              <w:t>​</w:t>
            </w:r>
          </w:p>
        </w:tc>
        <w:tc>
          <w:tcPr>
            <w:tcW w:w="6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4,030</w:t>
            </w:r>
          </w:p>
        </w:tc>
        <w:tc>
          <w:tcPr>
            <w:tcW w:w="146" w:type="dxa"/>
            <w:tcBorders/>
            <w:shd w:fill="CCEEFF" w:val="clear"/>
            <w:vAlign w:val="center"/>
          </w:tcPr>
          <w:p>
            <w:pPr>
              <w:pStyle w:val="TableContents"/>
              <w:bidi w:val="0"/>
              <w:spacing w:before="0" w:after="1"/>
              <w:ind w:left="0" w:right="0" w:hanging="0"/>
              <w:jc w:val="center"/>
              <w:rPr/>
            </w:pPr>
            <w:r>
              <w:rPr/>
              <w:t>​</w:t>
            </w:r>
          </w:p>
        </w:tc>
        <w:tc>
          <w:tcPr>
            <w:tcW w:w="6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2,160</w:t>
            </w:r>
          </w:p>
        </w:tc>
        <w:tc>
          <w:tcPr>
            <w:tcW w:w="109" w:type="dxa"/>
            <w:tcBorders/>
            <w:shd w:fill="CCEEFF" w:val="clear"/>
            <w:vAlign w:val="center"/>
          </w:tcPr>
          <w:p>
            <w:pPr>
              <w:pStyle w:val="TableContents"/>
              <w:bidi w:val="0"/>
              <w:spacing w:before="0" w:after="1"/>
              <w:ind w:left="0" w:right="0" w:hanging="0"/>
              <w:jc w:val="center"/>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center"/>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6,190</w:t>
            </w:r>
          </w:p>
        </w:tc>
        <w:tc>
          <w:tcPr>
            <w:tcW w:w="146" w:type="dxa"/>
            <w:tcBorders/>
            <w:shd w:fill="CCEEFF" w:val="clear"/>
            <w:vAlign w:val="center"/>
          </w:tcPr>
          <w:p>
            <w:pPr>
              <w:pStyle w:val="TableContents"/>
              <w:bidi w:val="0"/>
              <w:spacing w:before="0" w:after="1"/>
              <w:ind w:left="0" w:right="0" w:hanging="0"/>
              <w:jc w:val="center"/>
              <w:rPr/>
            </w:pPr>
            <w:r>
              <w:rPr/>
              <w:t>​</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3,869</w:t>
            </w:r>
          </w:p>
        </w:tc>
        <w:tc>
          <w:tcPr>
            <w:tcW w:w="146" w:type="dxa"/>
            <w:tcBorders/>
            <w:shd w:fill="CCEEFF" w:val="clear"/>
            <w:vAlign w:val="center"/>
          </w:tcPr>
          <w:p>
            <w:pPr>
              <w:pStyle w:val="TableContents"/>
              <w:bidi w:val="0"/>
              <w:spacing w:before="0" w:after="1"/>
              <w:ind w:left="0" w:right="0" w:hanging="0"/>
              <w:jc w:val="center"/>
              <w:rPr/>
            </w:pPr>
            <w:r>
              <w:rPr/>
              <w:t>​</w:t>
            </w:r>
          </w:p>
        </w:tc>
        <w:tc>
          <w:tcPr>
            <w:tcW w:w="6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2,114</w:t>
            </w:r>
          </w:p>
        </w:tc>
        <w:tc>
          <w:tcPr>
            <w:tcW w:w="109" w:type="dxa"/>
            <w:tcBorders/>
            <w:shd w:fill="CCEEFF" w:val="clear"/>
            <w:vAlign w:val="center"/>
          </w:tcPr>
          <w:p>
            <w:pPr>
              <w:pStyle w:val="TableContents"/>
              <w:bidi w:val="0"/>
              <w:spacing w:before="0" w:after="1"/>
              <w:ind w:left="0" w:right="0" w:hanging="0"/>
              <w:jc w:val="center"/>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center"/>
              <w:rPr/>
            </w:pPr>
            <w:r>
              <w:rPr/>
              <w:t>​</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5,983</w:t>
            </w:r>
          </w:p>
        </w:tc>
      </w:tr>
      <w:tr>
        <w:trPr/>
        <w:tc>
          <w:tcPr>
            <w:tcW w:w="33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Manachised and franchised hotels</w:t>
            </w:r>
          </w:p>
        </w:tc>
        <w:tc>
          <w:tcPr>
            <w:tcW w:w="346" w:type="dxa"/>
            <w:tcBorders/>
            <w:vAlign w:val="center"/>
          </w:tcPr>
          <w:p>
            <w:pPr>
              <w:pStyle w:val="TableContents"/>
              <w:bidi w:val="0"/>
              <w:spacing w:before="0" w:after="1"/>
              <w:ind w:left="0" w:right="0" w:hanging="0"/>
              <w:jc w:val="center"/>
              <w:rPr/>
            </w:pPr>
            <w:r>
              <w:rPr/>
              <w:t>​</w:t>
            </w:r>
          </w:p>
        </w:tc>
        <w:tc>
          <w:tcPr>
            <w:tcW w:w="6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5,301</w:t>
            </w:r>
          </w:p>
        </w:tc>
        <w:tc>
          <w:tcPr>
            <w:tcW w:w="146" w:type="dxa"/>
            <w:tcBorders/>
            <w:vAlign w:val="center"/>
          </w:tcPr>
          <w:p>
            <w:pPr>
              <w:pStyle w:val="TableContents"/>
              <w:bidi w:val="0"/>
              <w:spacing w:before="0" w:after="1"/>
              <w:ind w:left="0" w:right="0" w:hanging="0"/>
              <w:jc w:val="center"/>
              <w:rPr/>
            </w:pPr>
            <w:r>
              <w:rPr/>
              <w:t>​</w:t>
            </w:r>
          </w:p>
        </w:tc>
        <w:tc>
          <w:tcPr>
            <w:tcW w:w="6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w:t>
            </w:r>
          </w:p>
        </w:tc>
        <w:tc>
          <w:tcPr>
            <w:tcW w:w="109"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c>
          <w:tcPr>
            <w:tcW w:w="14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5,364</w:t>
            </w:r>
          </w:p>
        </w:tc>
        <w:tc>
          <w:tcPr>
            <w:tcW w:w="146" w:type="dxa"/>
            <w:tcBorders/>
            <w:vAlign w:val="center"/>
          </w:tcPr>
          <w:p>
            <w:pPr>
              <w:pStyle w:val="TableContents"/>
              <w:bidi w:val="0"/>
              <w:spacing w:before="0" w:after="1"/>
              <w:ind w:left="0" w:right="0" w:hanging="0"/>
              <w:jc w:val="center"/>
              <w:rPr/>
            </w:pPr>
            <w:r>
              <w:rPr/>
              <w:t>​</w:t>
            </w:r>
          </w:p>
        </w:tc>
        <w:tc>
          <w:tcPr>
            <w:tcW w:w="6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6,529</w:t>
            </w:r>
          </w:p>
        </w:tc>
        <w:tc>
          <w:tcPr>
            <w:tcW w:w="146" w:type="dxa"/>
            <w:tcBorders/>
            <w:vAlign w:val="center"/>
          </w:tcPr>
          <w:p>
            <w:pPr>
              <w:pStyle w:val="TableContents"/>
              <w:bidi w:val="0"/>
              <w:spacing w:before="0" w:after="1"/>
              <w:ind w:left="0" w:right="0" w:hanging="0"/>
              <w:jc w:val="center"/>
              <w:rPr/>
            </w:pPr>
            <w:r>
              <w:rPr/>
              <w:t>​</w:t>
            </w:r>
          </w:p>
        </w:tc>
        <w:tc>
          <w:tcPr>
            <w:tcW w:w="6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w:t>
            </w:r>
          </w:p>
        </w:tc>
        <w:tc>
          <w:tcPr>
            <w:tcW w:w="109"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w:t>
            </w:r>
          </w:p>
        </w:tc>
        <w:tc>
          <w:tcPr>
            <w:tcW w:w="146" w:type="dxa"/>
            <w:tcBorders/>
            <w:vAlign w:val="center"/>
          </w:tcPr>
          <w:p>
            <w:pPr>
              <w:pStyle w:val="TableContents"/>
              <w:bidi w:val="0"/>
              <w:spacing w:before="0" w:after="1"/>
              <w:ind w:left="0" w:right="0" w:hanging="0"/>
              <w:jc w:val="center"/>
              <w:rPr/>
            </w:pPr>
            <w:r>
              <w:rPr/>
              <w:t>​</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6,592</w:t>
            </w:r>
          </w:p>
        </w:tc>
      </w:tr>
      <w:tr>
        <w:trPr/>
        <w:tc>
          <w:tcPr>
            <w:tcW w:w="33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Others</w:t>
            </w:r>
          </w:p>
        </w:tc>
        <w:tc>
          <w:tcPr>
            <w:tcW w:w="346" w:type="dxa"/>
            <w:tcBorders/>
            <w:shd w:fill="CCEEFF" w:val="clear"/>
            <w:vAlign w:val="center"/>
          </w:tcPr>
          <w:p>
            <w:pPr>
              <w:pStyle w:val="TableContents"/>
              <w:bidi w:val="0"/>
              <w:spacing w:before="0" w:after="1"/>
              <w:ind w:left="0" w:right="0" w:hanging="0"/>
              <w:jc w:val="center"/>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w:t>
            </w:r>
          </w:p>
        </w:tc>
        <w:tc>
          <w:tcPr>
            <w:tcW w:w="146" w:type="dxa"/>
            <w:tcBorders/>
            <w:shd w:fill="CCEEFF" w:val="clear"/>
            <w:vAlign w:val="center"/>
          </w:tcPr>
          <w:p>
            <w:pPr>
              <w:pStyle w:val="TableContents"/>
              <w:bidi w:val="0"/>
              <w:spacing w:before="0" w:after="1"/>
              <w:ind w:left="0" w:right="0" w:hanging="0"/>
              <w:jc w:val="center"/>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w:t>
            </w:r>
          </w:p>
        </w:tc>
        <w:tc>
          <w:tcPr>
            <w:tcW w:w="109" w:type="dxa"/>
            <w:tcBorders/>
            <w:shd w:fill="CCEEFF" w:val="clear"/>
            <w:vAlign w:val="center"/>
          </w:tcPr>
          <w:p>
            <w:pPr>
              <w:pStyle w:val="TableContents"/>
              <w:bidi w:val="0"/>
              <w:spacing w:before="0" w:after="1"/>
              <w:ind w:left="0" w:right="0" w:hanging="0"/>
              <w:jc w:val="center"/>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w:t>
            </w:r>
          </w:p>
        </w:tc>
        <w:tc>
          <w:tcPr>
            <w:tcW w:w="146" w:type="dxa"/>
            <w:tcBorders/>
            <w:shd w:fill="CCEEFF" w:val="clear"/>
            <w:vAlign w:val="center"/>
          </w:tcPr>
          <w:p>
            <w:pPr>
              <w:pStyle w:val="TableContents"/>
              <w:bidi w:val="0"/>
              <w:spacing w:before="0" w:after="1"/>
              <w:ind w:left="0" w:right="0" w:hanging="0"/>
              <w:jc w:val="center"/>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267</w:t>
            </w:r>
          </w:p>
        </w:tc>
        <w:tc>
          <w:tcPr>
            <w:tcW w:w="146" w:type="dxa"/>
            <w:tcBorders/>
            <w:shd w:fill="CCEEFF" w:val="clear"/>
            <w:vAlign w:val="center"/>
          </w:tcPr>
          <w:p>
            <w:pPr>
              <w:pStyle w:val="TableContents"/>
              <w:bidi w:val="0"/>
              <w:spacing w:before="0" w:after="1"/>
              <w:ind w:left="0" w:right="0" w:hanging="0"/>
              <w:jc w:val="center"/>
              <w:rPr/>
            </w:pPr>
            <w:r>
              <w:rPr/>
              <w:t>​</w:t>
            </w:r>
          </w:p>
        </w:tc>
        <w:tc>
          <w:tcPr>
            <w:tcW w:w="6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509</w:t>
            </w:r>
          </w:p>
        </w:tc>
        <w:tc>
          <w:tcPr>
            <w:tcW w:w="146" w:type="dxa"/>
            <w:tcBorders/>
            <w:shd w:fill="CCEEFF" w:val="clear"/>
            <w:vAlign w:val="center"/>
          </w:tcPr>
          <w:p>
            <w:pPr>
              <w:pStyle w:val="TableContents"/>
              <w:bidi w:val="0"/>
              <w:spacing w:before="0" w:after="1"/>
              <w:ind w:left="0" w:right="0" w:hanging="0"/>
              <w:jc w:val="center"/>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w:t>
            </w:r>
          </w:p>
        </w:tc>
        <w:tc>
          <w:tcPr>
            <w:tcW w:w="109" w:type="dxa"/>
            <w:tcBorders/>
            <w:shd w:fill="CCEEFF" w:val="clear"/>
            <w:vAlign w:val="center"/>
          </w:tcPr>
          <w:p>
            <w:pPr>
              <w:pStyle w:val="TableContents"/>
              <w:bidi w:val="0"/>
              <w:spacing w:before="0" w:after="1"/>
              <w:ind w:left="0" w:right="0" w:hanging="0"/>
              <w:jc w:val="center"/>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center"/>
              <w:rPr/>
            </w:pPr>
            <w:r>
              <w:rPr/>
              <w:t>​</w:t>
            </w:r>
          </w:p>
        </w:tc>
        <w:tc>
          <w:tcPr>
            <w:tcW w:w="6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542</w:t>
            </w:r>
          </w:p>
        </w:tc>
      </w:tr>
      <w:tr>
        <w:trPr/>
        <w:tc>
          <w:tcPr>
            <w:tcW w:w="331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revenues</w:t>
            </w:r>
          </w:p>
        </w:tc>
        <w:tc>
          <w:tcPr>
            <w:tcW w:w="346" w:type="dxa"/>
            <w:tcBorders/>
            <w:vAlign w:val="center"/>
          </w:tcPr>
          <w:p>
            <w:pPr>
              <w:pStyle w:val="TableContents"/>
              <w:bidi w:val="0"/>
              <w:spacing w:before="0" w:after="1"/>
              <w:ind w:left="0" w:right="0" w:hanging="0"/>
              <w:jc w:val="left"/>
              <w:rPr/>
            </w:pPr>
            <w:r>
              <w:rPr/>
              <w:t> </w:t>
            </w:r>
          </w:p>
        </w:tc>
        <w:tc>
          <w:tcPr>
            <w:tcW w:w="6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9,588</w:t>
            </w:r>
          </w:p>
        </w:tc>
        <w:tc>
          <w:tcPr>
            <w:tcW w:w="146" w:type="dxa"/>
            <w:tcBorders/>
            <w:vAlign w:val="center"/>
          </w:tcPr>
          <w:p>
            <w:pPr>
              <w:pStyle w:val="TableContents"/>
              <w:bidi w:val="0"/>
              <w:spacing w:before="0" w:after="1"/>
              <w:ind w:left="0" w:right="0" w:hanging="0"/>
              <w:jc w:val="left"/>
              <w:rPr/>
            </w:pPr>
            <w:r>
              <w:rPr/>
              <w:t>​</w:t>
            </w:r>
          </w:p>
        </w:tc>
        <w:tc>
          <w:tcPr>
            <w:tcW w:w="6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2,256</w:t>
            </w:r>
          </w:p>
        </w:tc>
        <w:tc>
          <w:tcPr>
            <w:tcW w:w="109" w:type="dxa"/>
            <w:tcBorders/>
            <w:vAlign w:val="center"/>
          </w:tcPr>
          <w:p>
            <w:pPr>
              <w:pStyle w:val="TableContents"/>
              <w:bidi w:val="0"/>
              <w:spacing w:before="0" w:after="1"/>
              <w:ind w:left="0" w:right="0" w:hanging="0"/>
              <w:jc w:val="righ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w:t>
            </w:r>
          </w:p>
        </w:tc>
        <w:tc>
          <w:tcPr>
            <w:tcW w:w="14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11,821</w:t>
            </w:r>
          </w:p>
        </w:tc>
        <w:tc>
          <w:tcPr>
            <w:tcW w:w="146" w:type="dxa"/>
            <w:tcBorders/>
            <w:vAlign w:val="center"/>
          </w:tcPr>
          <w:p>
            <w:pPr>
              <w:pStyle w:val="TableContents"/>
              <w:bidi w:val="0"/>
              <w:spacing w:before="0" w:after="1"/>
              <w:ind w:left="0" w:right="0" w:hanging="0"/>
              <w:jc w:val="left"/>
              <w:rPr/>
            </w:pPr>
            <w:r>
              <w:rPr/>
              <w:t> </w:t>
            </w:r>
          </w:p>
        </w:tc>
        <w:tc>
          <w:tcPr>
            <w:tcW w:w="6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10,907</w:t>
            </w:r>
          </w:p>
        </w:tc>
        <w:tc>
          <w:tcPr>
            <w:tcW w:w="146" w:type="dxa"/>
            <w:tcBorders/>
            <w:vAlign w:val="center"/>
          </w:tcPr>
          <w:p>
            <w:pPr>
              <w:pStyle w:val="TableContents"/>
              <w:bidi w:val="0"/>
              <w:spacing w:before="0" w:after="1"/>
              <w:ind w:left="0" w:right="0" w:hanging="0"/>
              <w:jc w:val="left"/>
              <w:rPr/>
            </w:pPr>
            <w:r>
              <w:rPr/>
              <w:t>​</w:t>
            </w:r>
          </w:p>
        </w:tc>
        <w:tc>
          <w:tcPr>
            <w:tcW w:w="6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2,225</w:t>
            </w:r>
          </w:p>
        </w:tc>
        <w:tc>
          <w:tcPr>
            <w:tcW w:w="109" w:type="dxa"/>
            <w:tcBorders/>
            <w:vAlign w:val="center"/>
          </w:tcPr>
          <w:p>
            <w:pPr>
              <w:pStyle w:val="TableContents"/>
              <w:bidi w:val="0"/>
              <w:spacing w:before="0" w:after="1"/>
              <w:ind w:left="0" w:right="0" w:hanging="0"/>
              <w:jc w:val="righ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w:t>
            </w:r>
          </w:p>
        </w:tc>
        <w:tc>
          <w:tcPr>
            <w:tcW w:w="14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13,117</w:t>
            </w:r>
          </w:p>
        </w:tc>
      </w:tr>
      <w:tr>
        <w:trPr/>
        <w:tc>
          <w:tcPr>
            <w:tcW w:w="33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Adjusted hotel operating costs</w:t>
            </w:r>
          </w:p>
        </w:tc>
        <w:tc>
          <w:tcPr>
            <w:tcW w:w="346" w:type="dxa"/>
            <w:tcBorders/>
            <w:shd w:fill="CCEEFF" w:val="clear"/>
            <w:vAlign w:val="center"/>
          </w:tcPr>
          <w:p>
            <w:pPr>
              <w:pStyle w:val="TableContents"/>
              <w:bidi w:val="0"/>
              <w:spacing w:before="0" w:after="1"/>
              <w:ind w:left="0" w:right="0" w:hanging="0"/>
              <w:jc w:val="left"/>
              <w:rPr/>
            </w:pPr>
            <w:r>
              <w:rPr/>
              <w:t>​</w:t>
            </w:r>
          </w:p>
        </w:tc>
        <w:tc>
          <w:tcPr>
            <w:tcW w:w="6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(4,988)</w:t>
            </w:r>
          </w:p>
        </w:tc>
        <w:tc>
          <w:tcPr>
            <w:tcW w:w="146" w:type="dxa"/>
            <w:tcBorders/>
            <w:shd w:fill="CCEEFF" w:val="clear"/>
            <w:vAlign w:val="center"/>
          </w:tcPr>
          <w:p>
            <w:pPr>
              <w:pStyle w:val="TableContents"/>
              <w:bidi w:val="0"/>
              <w:spacing w:before="0" w:after="1"/>
              <w:ind w:left="0" w:right="0" w:hanging="0"/>
              <w:jc w:val="left"/>
              <w:rPr/>
            </w:pPr>
            <w:r>
              <w:rPr/>
              <w:t>​</w:t>
            </w:r>
          </w:p>
        </w:tc>
        <w:tc>
          <w:tcPr>
            <w:tcW w:w="6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(1,762)</w:t>
            </w:r>
          </w:p>
        </w:tc>
        <w:tc>
          <w:tcPr>
            <w:tcW w:w="109"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(5,375)</w:t>
            </w:r>
          </w:p>
        </w:tc>
        <w:tc>
          <w:tcPr>
            <w:tcW w:w="146" w:type="dxa"/>
            <w:tcBorders/>
            <w:shd w:fill="CCEEFF" w:val="clear"/>
            <w:vAlign w:val="center"/>
          </w:tcPr>
          <w:p>
            <w:pPr>
              <w:pStyle w:val="TableContents"/>
              <w:bidi w:val="0"/>
              <w:spacing w:before="0" w:after="1"/>
              <w:ind w:left="0" w:right="0" w:hanging="0"/>
              <w:jc w:val="left"/>
              <w:rPr/>
            </w:pPr>
            <w:r>
              <w:rPr/>
              <w:t>​</w:t>
            </w:r>
          </w:p>
        </w:tc>
        <w:tc>
          <w:tcPr>
            <w:tcW w:w="6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(1,739)</w:t>
            </w:r>
          </w:p>
        </w:tc>
        <w:tc>
          <w:tcPr>
            <w:tcW w:w="109"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pPr>
            <w:r>
              <w:rPr/>
              <w:t>​</w:t>
            </w:r>
          </w:p>
        </w:tc>
      </w:tr>
      <w:tr>
        <w:trPr/>
        <w:tc>
          <w:tcPr>
            <w:tcW w:w="33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Adjusted selling and marketing expenses</w:t>
            </w:r>
          </w:p>
        </w:tc>
        <w:tc>
          <w:tcPr>
            <w:tcW w:w="346" w:type="dxa"/>
            <w:tcBorders/>
            <w:vAlign w:val="center"/>
          </w:tcPr>
          <w:p>
            <w:pPr>
              <w:pStyle w:val="TableContents"/>
              <w:bidi w:val="0"/>
              <w:spacing w:before="0" w:after="1"/>
              <w:ind w:left="0" w:right="0" w:hanging="0"/>
              <w:jc w:val="left"/>
              <w:rPr/>
            </w:pPr>
            <w:r>
              <w:rPr/>
              <w:t>​</w:t>
            </w:r>
          </w:p>
        </w:tc>
        <w:tc>
          <w:tcPr>
            <w:tcW w:w="6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(307)</w:t>
            </w:r>
          </w:p>
        </w:tc>
        <w:tc>
          <w:tcPr>
            <w:tcW w:w="146" w:type="dxa"/>
            <w:tcBorders/>
            <w:vAlign w:val="center"/>
          </w:tcPr>
          <w:p>
            <w:pPr>
              <w:pStyle w:val="TableContents"/>
              <w:bidi w:val="0"/>
              <w:spacing w:before="0" w:after="1"/>
              <w:ind w:left="0" w:right="0" w:hanging="0"/>
              <w:jc w:val="left"/>
              <w:rPr/>
            </w:pPr>
            <w:r>
              <w:rPr/>
              <w:t>​</w:t>
            </w:r>
          </w:p>
        </w:tc>
        <w:tc>
          <w:tcPr>
            <w:tcW w:w="6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(242)</w:t>
            </w:r>
          </w:p>
        </w:tc>
        <w:tc>
          <w:tcPr>
            <w:tcW w:w="109" w:type="dxa"/>
            <w:tcBorders/>
            <w:vAlign w:val="center"/>
          </w:tcPr>
          <w:p>
            <w:pPr>
              <w:pStyle w:val="TableContents"/>
              <w:bidi w:val="0"/>
              <w:spacing w:before="0" w:after="1"/>
              <w:ind w:left="0" w:right="0" w:hanging="0"/>
              <w:jc w:val="right"/>
              <w:rPr/>
            </w:pPr>
            <w:r>
              <w:rPr/>
              <w:t>​</w:t>
            </w:r>
          </w:p>
        </w:tc>
        <w:tc>
          <w:tcPr>
            <w:tcW w:w="9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(370)</w:t>
            </w:r>
          </w:p>
        </w:tc>
        <w:tc>
          <w:tcPr>
            <w:tcW w:w="146" w:type="dxa"/>
            <w:tcBorders/>
            <w:vAlign w:val="center"/>
          </w:tcPr>
          <w:p>
            <w:pPr>
              <w:pStyle w:val="TableContents"/>
              <w:bidi w:val="0"/>
              <w:spacing w:before="0" w:after="1"/>
              <w:ind w:left="0" w:right="0" w:hanging="0"/>
              <w:jc w:val="left"/>
              <w:rPr/>
            </w:pPr>
            <w:r>
              <w:rPr/>
              <w:t>​</w:t>
            </w:r>
          </w:p>
        </w:tc>
        <w:tc>
          <w:tcPr>
            <w:tcW w:w="6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(247)</w:t>
            </w:r>
          </w:p>
        </w:tc>
        <w:tc>
          <w:tcPr>
            <w:tcW w:w="109" w:type="dxa"/>
            <w:tcBorders/>
            <w:vAlign w:val="center"/>
          </w:tcPr>
          <w:p>
            <w:pPr>
              <w:pStyle w:val="TableContents"/>
              <w:bidi w:val="0"/>
              <w:spacing w:before="0" w:after="1"/>
              <w:ind w:left="0" w:right="0" w:hanging="0"/>
              <w:jc w:val="right"/>
              <w:rPr/>
            </w:pPr>
            <w:r>
              <w:rPr/>
              <w:t>​</w:t>
            </w:r>
          </w:p>
        </w:tc>
        <w:tc>
          <w:tcPr>
            <w:tcW w:w="9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pPr>
            <w:r>
              <w:rPr/>
              <w:t>​</w:t>
            </w:r>
          </w:p>
        </w:tc>
      </w:tr>
      <w:tr>
        <w:trPr/>
        <w:tc>
          <w:tcPr>
            <w:tcW w:w="33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Adjusted 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6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(715)</w:t>
            </w:r>
          </w:p>
        </w:tc>
        <w:tc>
          <w:tcPr>
            <w:tcW w:w="146" w:type="dxa"/>
            <w:tcBorders/>
            <w:shd w:fill="CCEEFF" w:val="clear"/>
            <w:vAlign w:val="center"/>
          </w:tcPr>
          <w:p>
            <w:pPr>
              <w:pStyle w:val="TableContents"/>
              <w:bidi w:val="0"/>
              <w:spacing w:before="0" w:after="1"/>
              <w:ind w:left="0" w:right="0" w:hanging="0"/>
              <w:jc w:val="left"/>
              <w:rPr/>
            </w:pPr>
            <w:r>
              <w:rPr/>
              <w:t>​</w:t>
            </w:r>
          </w:p>
        </w:tc>
        <w:tc>
          <w:tcPr>
            <w:tcW w:w="6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w:t>
            </w:r>
          </w:p>
        </w:tc>
        <w:tc>
          <w:tcPr>
            <w:tcW w:w="109"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(784)</w:t>
            </w:r>
          </w:p>
        </w:tc>
        <w:tc>
          <w:tcPr>
            <w:tcW w:w="146" w:type="dxa"/>
            <w:tcBorders/>
            <w:shd w:fill="CCEEFF" w:val="clear"/>
            <w:vAlign w:val="center"/>
          </w:tcPr>
          <w:p>
            <w:pPr>
              <w:pStyle w:val="TableContents"/>
              <w:bidi w:val="0"/>
              <w:spacing w:before="0" w:after="1"/>
              <w:ind w:left="0" w:right="0" w:hanging="0"/>
              <w:jc w:val="left"/>
              <w:rPr/>
            </w:pPr>
            <w:r>
              <w:rPr/>
              <w:t>​</w:t>
            </w:r>
          </w:p>
        </w:tc>
        <w:tc>
          <w:tcPr>
            <w:tcW w:w="6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w:t>
            </w:r>
          </w:p>
        </w:tc>
        <w:tc>
          <w:tcPr>
            <w:tcW w:w="109"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pPr>
            <w:r>
              <w:rPr/>
              <w:t>​</w:t>
            </w:r>
          </w:p>
        </w:tc>
      </w:tr>
      <w:tr>
        <w:trPr/>
        <w:tc>
          <w:tcPr>
            <w:tcW w:w="33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segment items (primarily include other operating income, net)</w:t>
            </w:r>
          </w:p>
        </w:tc>
        <w:tc>
          <w:tcPr>
            <w:tcW w:w="346" w:type="dxa"/>
            <w:tcBorders/>
            <w:vAlign w:val="center"/>
          </w:tcPr>
          <w:p>
            <w:pPr>
              <w:pStyle w:val="TableContents"/>
              <w:bidi w:val="0"/>
              <w:spacing w:before="0" w:after="1"/>
              <w:ind w:left="0" w:right="0" w:hanging="0"/>
              <w:jc w:val="left"/>
              <w:rPr/>
            </w:pPr>
            <w:r>
              <w:rPr/>
              <w:t>​</w:t>
            </w:r>
          </w:p>
        </w:tc>
        <w:tc>
          <w:tcPr>
            <w:tcW w:w="6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w:t>
            </w:r>
          </w:p>
        </w:tc>
        <w:tc>
          <w:tcPr>
            <w:tcW w:w="146" w:type="dxa"/>
            <w:tcBorders/>
            <w:vAlign w:val="center"/>
          </w:tcPr>
          <w:p>
            <w:pPr>
              <w:pStyle w:val="TableContents"/>
              <w:bidi w:val="0"/>
              <w:spacing w:before="0" w:after="1"/>
              <w:ind w:left="0" w:right="0" w:hanging="0"/>
              <w:jc w:val="left"/>
              <w:rPr/>
            </w:pPr>
            <w:r>
              <w:rPr/>
              <w:t>​</w:t>
            </w:r>
          </w:p>
        </w:tc>
        <w:tc>
          <w:tcPr>
            <w:tcW w:w="6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w:t>
            </w:r>
          </w:p>
        </w:tc>
        <w:tc>
          <w:tcPr>
            <w:tcW w:w="109" w:type="dxa"/>
            <w:tcBorders/>
            <w:vAlign w:val="center"/>
          </w:tcPr>
          <w:p>
            <w:pPr>
              <w:pStyle w:val="TableContents"/>
              <w:bidi w:val="0"/>
              <w:spacing w:before="0" w:after="1"/>
              <w:ind w:left="0" w:right="0" w:hanging="0"/>
              <w:jc w:val="right"/>
              <w:rPr/>
            </w:pPr>
            <w:r>
              <w:rPr/>
              <w:t>​</w:t>
            </w:r>
          </w:p>
        </w:tc>
        <w:tc>
          <w:tcPr>
            <w:tcW w:w="9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6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w:t>
            </w:r>
          </w:p>
        </w:tc>
        <w:tc>
          <w:tcPr>
            <w:tcW w:w="146" w:type="dxa"/>
            <w:tcBorders/>
            <w:vAlign w:val="center"/>
          </w:tcPr>
          <w:p>
            <w:pPr>
              <w:pStyle w:val="TableContents"/>
              <w:bidi w:val="0"/>
              <w:spacing w:before="0" w:after="1"/>
              <w:ind w:left="0" w:right="0" w:hanging="0"/>
              <w:jc w:val="left"/>
              <w:rPr/>
            </w:pPr>
            <w:r>
              <w:rPr/>
              <w:t>​</w:t>
            </w:r>
          </w:p>
        </w:tc>
        <w:tc>
          <w:tcPr>
            <w:tcW w:w="6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c>
          <w:tcPr>
            <w:tcW w:w="109" w:type="dxa"/>
            <w:tcBorders/>
            <w:vAlign w:val="center"/>
          </w:tcPr>
          <w:p>
            <w:pPr>
              <w:pStyle w:val="TableContents"/>
              <w:bidi w:val="0"/>
              <w:spacing w:before="0" w:after="1"/>
              <w:ind w:left="0" w:right="0" w:hanging="0"/>
              <w:jc w:val="right"/>
              <w:rPr/>
            </w:pPr>
            <w:r>
              <w:rPr/>
              <w:t>​</w:t>
            </w:r>
          </w:p>
        </w:tc>
        <w:tc>
          <w:tcPr>
            <w:tcW w:w="9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pPr>
            <w:r>
              <w:rPr/>
              <w:t>​</w:t>
            </w:r>
          </w:p>
        </w:tc>
      </w:tr>
      <w:tr>
        <w:trPr/>
        <w:tc>
          <w:tcPr>
            <w:tcW w:w="331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Adjusted EBITDA</w:t>
            </w:r>
          </w:p>
        </w:tc>
        <w:tc>
          <w:tcPr>
            <w:tcW w:w="346" w:type="dxa"/>
            <w:tcBorders/>
            <w:shd w:fill="CCEEFF" w:val="clear"/>
            <w:vAlign w:val="center"/>
          </w:tcPr>
          <w:p>
            <w:pPr>
              <w:pStyle w:val="TableContents"/>
              <w:bidi w:val="0"/>
              <w:spacing w:before="0" w:after="1"/>
              <w:ind w:left="0" w:right="0" w:hanging="0"/>
              <w:jc w:val="left"/>
              <w:rPr/>
            </w:pPr>
            <w:r>
              <w:rPr/>
              <w:t>​</w:t>
            </w:r>
          </w:p>
        </w:tc>
        <w:tc>
          <w:tcPr>
            <w:tcW w:w="6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3,681</w:t>
            </w:r>
          </w:p>
        </w:tc>
        <w:tc>
          <w:tcPr>
            <w:tcW w:w="146" w:type="dxa"/>
            <w:tcBorders/>
            <w:shd w:fill="CCEEFF" w:val="clear"/>
            <w:vAlign w:val="center"/>
          </w:tcPr>
          <w:p>
            <w:pPr>
              <w:pStyle w:val="TableContents"/>
              <w:bidi w:val="0"/>
              <w:spacing w:before="0" w:after="1"/>
              <w:ind w:left="0" w:right="0" w:hanging="0"/>
              <w:jc w:val="left"/>
              <w:rPr/>
            </w:pPr>
            <w:r>
              <w:rPr/>
              <w:t>​</w:t>
            </w:r>
          </w:p>
        </w:tc>
        <w:tc>
          <w:tcPr>
            <w:tcW w:w="6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w:t>
            </w:r>
          </w:p>
        </w:tc>
        <w:tc>
          <w:tcPr>
            <w:tcW w:w="109"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3,766</w:t>
            </w:r>
          </w:p>
        </w:tc>
        <w:tc>
          <w:tcPr>
            <w:tcW w:w="146" w:type="dxa"/>
            <w:tcBorders/>
            <w:shd w:fill="CCEEFF" w:val="clear"/>
            <w:vAlign w:val="center"/>
          </w:tcPr>
          <w:p>
            <w:pPr>
              <w:pStyle w:val="TableContents"/>
              <w:bidi w:val="0"/>
              <w:spacing w:before="0" w:after="1"/>
              <w:ind w:left="0" w:right="0" w:hanging="0"/>
              <w:jc w:val="left"/>
              <w:rPr/>
            </w:pPr>
            <w:r>
              <w:rPr/>
              <w:t>​</w:t>
            </w:r>
          </w:p>
        </w:tc>
        <w:tc>
          <w:tcPr>
            <w:tcW w:w="6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4,508</w:t>
            </w:r>
          </w:p>
        </w:tc>
        <w:tc>
          <w:tcPr>
            <w:tcW w:w="146" w:type="dxa"/>
            <w:tcBorders/>
            <w:shd w:fill="CCEEFF" w:val="clear"/>
            <w:vAlign w:val="center"/>
          </w:tcPr>
          <w:p>
            <w:pPr>
              <w:pStyle w:val="TableContents"/>
              <w:bidi w:val="0"/>
              <w:spacing w:before="0" w:after="1"/>
              <w:ind w:left="0" w:right="0" w:hanging="0"/>
              <w:jc w:val="left"/>
              <w:rPr/>
            </w:pPr>
            <w:r>
              <w:rPr/>
              <w:t>​</w:t>
            </w:r>
          </w:p>
        </w:tc>
        <w:tc>
          <w:tcPr>
            <w:tcW w:w="6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w:t>
            </w:r>
          </w:p>
        </w:tc>
        <w:tc>
          <w:tcPr>
            <w:tcW w:w="109"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4,583</w:t>
            </w:r>
          </w:p>
        </w:tc>
      </w:tr>
      <w:tr>
        <w:trPr/>
        <w:tc>
          <w:tcPr>
            <w:tcW w:w="33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income</w:t>
            </w:r>
          </w:p>
        </w:tc>
        <w:tc>
          <w:tcPr>
            <w:tcW w:w="346" w:type="dxa"/>
            <w:tcBorders/>
            <w:vAlign w:val="center"/>
          </w:tcPr>
          <w:p>
            <w:pPr>
              <w:pStyle w:val="TableContents"/>
              <w:bidi w:val="0"/>
              <w:spacing w:before="0" w:after="1"/>
              <w:ind w:left="0" w:right="0" w:hanging="0"/>
              <w:jc w:val="left"/>
              <w:rPr/>
            </w:pPr>
            <w:r>
              <w:rPr/>
              <w:t> </w:t>
            </w:r>
          </w:p>
        </w:tc>
        <w:tc>
          <w:tcPr>
            <w:tcW w:w="60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6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9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w:t>
            </w:r>
          </w:p>
        </w:tc>
        <w:tc>
          <w:tcPr>
            <w:tcW w:w="146" w:type="dxa"/>
            <w:tcBorders/>
            <w:vAlign w:val="center"/>
          </w:tcPr>
          <w:p>
            <w:pPr>
              <w:pStyle w:val="TableContents"/>
              <w:bidi w:val="0"/>
              <w:spacing w:before="0" w:after="1"/>
              <w:ind w:left="0" w:right="0" w:hanging="0"/>
              <w:jc w:val="left"/>
              <w:rPr/>
            </w:pPr>
            <w:r>
              <w:rPr/>
              <w:t> </w:t>
            </w:r>
          </w:p>
        </w:tc>
        <w:tc>
          <w:tcPr>
            <w:tcW w:w="618"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6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9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w:t>
            </w:r>
          </w:p>
        </w:tc>
      </w:tr>
      <w:tr>
        <w:trPr/>
        <w:tc>
          <w:tcPr>
            <w:tcW w:w="33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60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60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w:t>
            </w:r>
          </w:p>
        </w:tc>
        <w:tc>
          <w:tcPr>
            <w:tcW w:w="146" w:type="dxa"/>
            <w:tcBorders/>
            <w:shd w:fill="CCEEFF" w:val="clear"/>
            <w:vAlign w:val="center"/>
          </w:tcPr>
          <w:p>
            <w:pPr>
              <w:pStyle w:val="TableContents"/>
              <w:bidi w:val="0"/>
              <w:spacing w:before="0" w:after="1"/>
              <w:ind w:left="0" w:right="0" w:hanging="0"/>
              <w:jc w:val="left"/>
              <w:rPr/>
            </w:pPr>
            <w:r>
              <w:rPr/>
              <w:t> </w:t>
            </w:r>
          </w:p>
        </w:tc>
        <w:tc>
          <w:tcPr>
            <w:tcW w:w="618"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60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w:t>
            </w:r>
          </w:p>
        </w:tc>
      </w:tr>
      <w:tr>
        <w:trPr/>
        <w:tc>
          <w:tcPr>
            <w:tcW w:w="33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expense</w:t>
            </w:r>
          </w:p>
        </w:tc>
        <w:tc>
          <w:tcPr>
            <w:tcW w:w="346" w:type="dxa"/>
            <w:tcBorders/>
            <w:vAlign w:val="center"/>
          </w:tcPr>
          <w:p>
            <w:pPr>
              <w:pStyle w:val="TableContents"/>
              <w:bidi w:val="0"/>
              <w:spacing w:before="0" w:after="1"/>
              <w:ind w:left="0" w:right="0" w:hanging="0"/>
              <w:jc w:val="left"/>
              <w:rPr/>
            </w:pPr>
            <w:r>
              <w:rPr/>
              <w:t> </w:t>
            </w:r>
          </w:p>
        </w:tc>
        <w:tc>
          <w:tcPr>
            <w:tcW w:w="60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6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9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(942)</w:t>
            </w:r>
          </w:p>
        </w:tc>
        <w:tc>
          <w:tcPr>
            <w:tcW w:w="146" w:type="dxa"/>
            <w:tcBorders/>
            <w:vAlign w:val="center"/>
          </w:tcPr>
          <w:p>
            <w:pPr>
              <w:pStyle w:val="TableContents"/>
              <w:bidi w:val="0"/>
              <w:spacing w:before="0" w:after="1"/>
              <w:ind w:left="0" w:right="0" w:hanging="0"/>
              <w:jc w:val="left"/>
              <w:rPr/>
            </w:pPr>
            <w:r>
              <w:rPr/>
              <w:t> </w:t>
            </w:r>
          </w:p>
        </w:tc>
        <w:tc>
          <w:tcPr>
            <w:tcW w:w="618"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6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9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(1,168)</w:t>
            </w:r>
          </w:p>
        </w:tc>
      </w:tr>
      <w:tr>
        <w:trPr/>
        <w:tc>
          <w:tcPr>
            <w:tcW w:w="33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shd w:fill="CCEEFF" w:val="clear"/>
            <w:vAlign w:val="center"/>
          </w:tcPr>
          <w:p>
            <w:pPr>
              <w:pStyle w:val="TableContents"/>
              <w:bidi w:val="0"/>
              <w:spacing w:before="0" w:after="1"/>
              <w:ind w:left="0" w:right="0" w:hanging="0"/>
              <w:jc w:val="left"/>
              <w:rPr/>
            </w:pPr>
            <w:r>
              <w:rPr/>
              <w:t> </w:t>
            </w:r>
          </w:p>
        </w:tc>
        <w:tc>
          <w:tcPr>
            <w:tcW w:w="60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60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(636)</w:t>
            </w:r>
          </w:p>
        </w:tc>
        <w:tc>
          <w:tcPr>
            <w:tcW w:w="146" w:type="dxa"/>
            <w:tcBorders/>
            <w:shd w:fill="CCEEFF" w:val="clear"/>
            <w:vAlign w:val="center"/>
          </w:tcPr>
          <w:p>
            <w:pPr>
              <w:pStyle w:val="TableContents"/>
              <w:bidi w:val="0"/>
              <w:spacing w:before="0" w:after="1"/>
              <w:ind w:left="0" w:right="0" w:hanging="0"/>
              <w:jc w:val="left"/>
              <w:rPr/>
            </w:pPr>
            <w:r>
              <w:rPr/>
              <w:t> </w:t>
            </w:r>
          </w:p>
        </w:tc>
        <w:tc>
          <w:tcPr>
            <w:tcW w:w="618"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60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(610)</w:t>
            </w:r>
          </w:p>
        </w:tc>
      </w:tr>
      <w:tr>
        <w:trPr/>
        <w:tc>
          <w:tcPr>
            <w:tcW w:w="33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346" w:type="dxa"/>
            <w:tcBorders/>
            <w:vAlign w:val="center"/>
          </w:tcPr>
          <w:p>
            <w:pPr>
              <w:pStyle w:val="TableContents"/>
              <w:bidi w:val="0"/>
              <w:spacing w:before="0" w:after="1"/>
              <w:ind w:left="0" w:right="0" w:hanging="0"/>
              <w:jc w:val="left"/>
              <w:rPr/>
            </w:pPr>
            <w:r>
              <w:rPr/>
              <w:t>​</w:t>
            </w:r>
          </w:p>
        </w:tc>
        <w:tc>
          <w:tcPr>
            <w:tcW w:w="60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6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9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(247)</w:t>
            </w:r>
          </w:p>
        </w:tc>
        <w:tc>
          <w:tcPr>
            <w:tcW w:w="146" w:type="dxa"/>
            <w:tcBorders/>
            <w:vAlign w:val="center"/>
          </w:tcPr>
          <w:p>
            <w:pPr>
              <w:pStyle w:val="TableContents"/>
              <w:bidi w:val="0"/>
              <w:spacing w:before="0" w:after="1"/>
              <w:ind w:left="0" w:right="0" w:hanging="0"/>
              <w:jc w:val="left"/>
              <w:rPr/>
            </w:pPr>
            <w:r>
              <w:rPr/>
              <w:t>​</w:t>
            </w:r>
          </w:p>
        </w:tc>
        <w:tc>
          <w:tcPr>
            <w:tcW w:w="618"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6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9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(265)</w:t>
            </w:r>
          </w:p>
        </w:tc>
      </w:tr>
      <w:tr>
        <w:trPr/>
        <w:tc>
          <w:tcPr>
            <w:tcW w:w="331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Losses from fair value changes of equity securities, net</w:t>
            </w:r>
          </w:p>
        </w:tc>
        <w:tc>
          <w:tcPr>
            <w:tcW w:w="346" w:type="dxa"/>
            <w:tcBorders/>
            <w:shd w:fill="CCEEFF" w:val="clear"/>
            <w:vAlign w:val="center"/>
          </w:tcPr>
          <w:p>
            <w:pPr>
              <w:pStyle w:val="TableContents"/>
              <w:bidi w:val="0"/>
              <w:spacing w:before="0" w:after="1"/>
              <w:ind w:left="0" w:right="0" w:hanging="0"/>
              <w:jc w:val="left"/>
              <w:rPr/>
            </w:pPr>
            <w:r>
              <w:rPr/>
              <w:t>​</w:t>
            </w:r>
          </w:p>
        </w:tc>
        <w:tc>
          <w:tcPr>
            <w:tcW w:w="60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60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w:t>
            </w:r>
          </w:p>
        </w:tc>
        <w:tc>
          <w:tcPr>
            <w:tcW w:w="146" w:type="dxa"/>
            <w:tcBorders/>
            <w:shd w:fill="CCEEFF" w:val="clear"/>
            <w:vAlign w:val="center"/>
          </w:tcPr>
          <w:p>
            <w:pPr>
              <w:pStyle w:val="TableContents"/>
              <w:bidi w:val="0"/>
              <w:spacing w:before="0" w:after="1"/>
              <w:ind w:left="0" w:right="0" w:hanging="0"/>
              <w:jc w:val="left"/>
              <w:rPr/>
            </w:pPr>
            <w:r>
              <w:rPr/>
              <w:t>​</w:t>
            </w:r>
          </w:p>
        </w:tc>
        <w:tc>
          <w:tcPr>
            <w:tcW w:w="618"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60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331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exchange gain (loss), net</w:t>
            </w:r>
          </w:p>
        </w:tc>
        <w:tc>
          <w:tcPr>
            <w:tcW w:w="346" w:type="dxa"/>
            <w:tcBorders/>
            <w:vAlign w:val="center"/>
          </w:tcPr>
          <w:p>
            <w:pPr>
              <w:pStyle w:val="TableContents"/>
              <w:bidi w:val="0"/>
              <w:spacing w:before="0" w:after="1"/>
              <w:ind w:left="0" w:right="0" w:hanging="0"/>
              <w:jc w:val="left"/>
              <w:rPr/>
            </w:pPr>
            <w:r>
              <w:rPr/>
              <w:t> </w:t>
            </w:r>
          </w:p>
        </w:tc>
        <w:tc>
          <w:tcPr>
            <w:tcW w:w="60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6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9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574</w:t>
            </w:r>
          </w:p>
        </w:tc>
        <w:tc>
          <w:tcPr>
            <w:tcW w:w="146" w:type="dxa"/>
            <w:tcBorders/>
            <w:vAlign w:val="center"/>
          </w:tcPr>
          <w:p>
            <w:pPr>
              <w:pStyle w:val="TableContents"/>
              <w:bidi w:val="0"/>
              <w:spacing w:before="0" w:after="1"/>
              <w:ind w:left="0" w:right="0" w:hanging="0"/>
              <w:jc w:val="left"/>
              <w:rPr/>
            </w:pPr>
            <w:r>
              <w:rPr/>
              <w:t> </w:t>
            </w:r>
          </w:p>
        </w:tc>
        <w:tc>
          <w:tcPr>
            <w:tcW w:w="618"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6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946"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6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w:t>
            </w:r>
          </w:p>
        </w:tc>
      </w:tr>
      <w:tr>
        <w:trPr/>
        <w:tc>
          <w:tcPr>
            <w:tcW w:w="331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income attributable to H World Group Limited</w:t>
            </w:r>
          </w:p>
        </w:tc>
        <w:tc>
          <w:tcPr>
            <w:tcW w:w="346" w:type="dxa"/>
            <w:tcBorders/>
            <w:shd w:fill="CCEEFF" w:val="clear"/>
            <w:vAlign w:val="center"/>
          </w:tcPr>
          <w:p>
            <w:pPr>
              <w:pStyle w:val="TableContents"/>
              <w:bidi w:val="0"/>
              <w:spacing w:before="0" w:after="1"/>
              <w:ind w:left="0" w:right="0" w:hanging="0"/>
              <w:jc w:val="left"/>
              <w:rPr/>
            </w:pPr>
            <w:r>
              <w:rPr/>
              <w:t>​</w:t>
            </w:r>
          </w:p>
        </w:tc>
        <w:tc>
          <w:tcPr>
            <w:tcW w:w="60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60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2,438</w:t>
            </w:r>
          </w:p>
        </w:tc>
        <w:tc>
          <w:tcPr>
            <w:tcW w:w="146" w:type="dxa"/>
            <w:tcBorders/>
            <w:shd w:fill="CCEEFF" w:val="clear"/>
            <w:vAlign w:val="center"/>
          </w:tcPr>
          <w:p>
            <w:pPr>
              <w:pStyle w:val="TableContents"/>
              <w:bidi w:val="0"/>
              <w:spacing w:before="0" w:after="1"/>
              <w:ind w:left="0" w:right="0" w:hanging="0"/>
              <w:jc w:val="left"/>
              <w:rPr/>
            </w:pPr>
            <w:r>
              <w:rPr/>
              <w:t>​</w:t>
            </w:r>
          </w:p>
        </w:tc>
        <w:tc>
          <w:tcPr>
            <w:tcW w:w="618"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60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66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2,394</w:t>
            </w:r>
          </w:p>
        </w:tc>
      </w:tr>
    </w:tbl>
    <w:p>
      <w:pPr>
        <w:pStyle w:val="TextBody"/>
        <w:bidi w:val="0"/>
        <w:spacing w:before="0" w:after="24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tables represent revenues and property and equipment, net, intangible assets, net, right-of-use assets, land use rights, net and goodwill by geographical region.</w:t>
      </w:r>
    </w:p>
    <w:p>
      <w:pPr>
        <w:pStyle w:val="TextBody"/>
        <w:bidi w:val="0"/>
        <w:spacing w:before="0" w:after="240"/>
        <w:ind w:left="0" w:right="0" w:hanging="0"/>
        <w:jc w:val="left"/>
        <w:rPr/>
      </w:pPr>
      <w:r>
        <w:rPr/>
        <w:t>​</w:t>
      </w:r>
    </w:p>
    <w:tbl>
      <w:tblPr>
        <w:tblW w:w="3377" w:type="dxa"/>
        <w:jc w:val="left"/>
        <w:tblInd w:w="0" w:type="dxa"/>
        <w:tblLayout w:type="fixed"/>
        <w:tblCellMar>
          <w:top w:w="0" w:type="dxa"/>
          <w:left w:w="0" w:type="dxa"/>
          <w:bottom w:w="0" w:type="dxa"/>
          <w:right w:w="0" w:type="dxa"/>
        </w:tblCellMar>
      </w:tblPr>
      <w:tblGrid>
        <w:gridCol w:w="916"/>
        <w:gridCol w:w="346"/>
        <w:gridCol w:w="793"/>
        <w:gridCol w:w="405"/>
        <w:gridCol w:w="917"/>
      </w:tblGrid>
      <w:tr>
        <w:trPr/>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81660" cy="175260"/>
                      <wp:effectExtent l="0" t="0" r="0" b="0"/>
                      <wp:wrapNone/>
                      <wp:docPr id="174" name="Frame17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03555" cy="175260"/>
                      <wp:effectExtent l="0" t="0" r="0" b="0"/>
                      <wp:wrapNone/>
                      <wp:docPr id="176" name="Frame176"/>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57175" cy="175260"/>
                      <wp:effectExtent l="0" t="0" r="0" b="0"/>
                      <wp:wrapNone/>
                      <wp:docPr id="177" name="Frame177"/>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82295" cy="175260"/>
                      <wp:effectExtent l="0" t="0" r="0" b="0"/>
                      <wp:wrapNone/>
                      <wp:docPr id="178" name="Frame178"/>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Revenues:</w:t>
            </w:r>
          </w:p>
        </w:tc>
        <w:tc>
          <w:tcPr>
            <w:tcW w:w="346" w:type="dxa"/>
            <w:tcBorders/>
            <w:vAlign w:val="center"/>
          </w:tcPr>
          <w:p>
            <w:pPr>
              <w:pStyle w:val="TableContents"/>
              <w:bidi w:val="0"/>
              <w:spacing w:before="0" w:after="1"/>
              <w:ind w:left="0" w:right="0" w:hanging="0"/>
              <w:jc w:val="center"/>
              <w:rPr/>
            </w:pPr>
            <w:r>
              <w:rPr/>
              <w:t>  ​ ​ ​</w:t>
            </w:r>
          </w:p>
        </w:tc>
        <w:tc>
          <w:tcPr>
            <w:tcW w:w="211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5" w:type="dxa"/>
            <w:tcBorders/>
            <w:vAlign w:val="center"/>
          </w:tcPr>
          <w:p>
            <w:pPr>
              <w:pStyle w:val="TableContents"/>
              <w:bidi w:val="0"/>
              <w:spacing w:before="0" w:after="1"/>
              <w:ind w:left="0" w:right="0" w:hanging="0"/>
              <w:jc w:val="center"/>
              <w:rPr/>
            </w:pPr>
            <w:r>
              <w:rPr/>
              <w:t>  ​ ​ ​</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c>
          <w:tcPr>
            <w:tcW w:w="346"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9,568</w:t>
            </w:r>
          </w:p>
        </w:tc>
        <w:tc>
          <w:tcPr>
            <w:tcW w:w="405"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10,904</w:t>
            </w:r>
          </w:p>
        </w:tc>
      </w:tr>
      <w:tr>
        <w:trPr/>
        <w:tc>
          <w:tcPr>
            <w:tcW w:w="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Germany</w:t>
            </w:r>
          </w:p>
        </w:tc>
        <w:tc>
          <w:tcPr>
            <w:tcW w:w="346"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1,596</w:t>
            </w:r>
          </w:p>
        </w:tc>
        <w:tc>
          <w:tcPr>
            <w:tcW w:w="405"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1,578</w:t>
            </w:r>
          </w:p>
        </w:tc>
      </w:tr>
      <w:tr>
        <w:trPr/>
        <w:tc>
          <w:tcPr>
            <w:tcW w:w="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others</w:t>
            </w:r>
          </w:p>
        </w:tc>
        <w:tc>
          <w:tcPr>
            <w:tcW w:w="346" w:type="dxa"/>
            <w:tcBorders/>
            <w:shd w:fill="CCEEFF" w:val="clear"/>
            <w:vAlign w:val="center"/>
          </w:tcPr>
          <w:p>
            <w:pPr>
              <w:pStyle w:val="TableContents"/>
              <w:bidi w:val="0"/>
              <w:spacing w:before="0" w:after="1"/>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w:t>
            </w:r>
          </w:p>
        </w:tc>
        <w:tc>
          <w:tcPr>
            <w:tcW w:w="405" w:type="dxa"/>
            <w:tcBorders/>
            <w:shd w:fill="CCEEFF" w:val="clear"/>
            <w:vAlign w:val="center"/>
          </w:tcPr>
          <w:p>
            <w:pPr>
              <w:pStyle w:val="TableContents"/>
              <w:bidi w:val="0"/>
              <w:spacing w:before="0" w:after="1"/>
              <w:ind w:left="0" w:right="0" w:hanging="0"/>
              <w:jc w:val="left"/>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w:t>
            </w:r>
          </w:p>
        </w:tc>
      </w:tr>
      <w:tr>
        <w:trPr/>
        <w:tc>
          <w:tcPr>
            <w:tcW w:w="9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w:t>
            </w:r>
          </w:p>
        </w:tc>
        <w:tc>
          <w:tcPr>
            <w:tcW w:w="7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11,821</w:t>
            </w:r>
          </w:p>
        </w:tc>
        <w:tc>
          <w:tcPr>
            <w:tcW w:w="405" w:type="dxa"/>
            <w:tcBorders/>
            <w:vAlign w:val="center"/>
          </w:tcPr>
          <w:p>
            <w:pPr>
              <w:pStyle w:val="TableContents"/>
              <w:bidi w:val="0"/>
              <w:spacing w:before="0" w:after="1"/>
              <w:ind w:left="0" w:right="0" w:hanging="0"/>
              <w:jc w:val="left"/>
              <w:rPr/>
            </w:pPr>
            <w:r>
              <w:rPr/>
              <w:t>​</w:t>
            </w:r>
          </w:p>
        </w:tc>
        <w:tc>
          <w:tcPr>
            <w:tcW w:w="91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13,117</w:t>
            </w:r>
          </w:p>
        </w:tc>
      </w:tr>
    </w:tbl>
    <w:p>
      <w:pPr>
        <w:pStyle w:val="TextBody"/>
        <w:bidi w:val="0"/>
        <w:spacing w:before="0" w:after="24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Property and equipment, net, intangible assets, net, right-of-use assets, land use rights, net and goodwill:</w:t>
      </w:r>
    </w:p>
    <w:p>
      <w:pPr>
        <w:pStyle w:val="TextBody"/>
        <w:bidi w:val="0"/>
        <w:spacing w:before="0" w:after="240"/>
        <w:ind w:left="0" w:right="0" w:hanging="0"/>
        <w:jc w:val="left"/>
        <w:rPr/>
      </w:pPr>
      <w:r>
        <w:rPr/>
        <w:t>​</w:t>
      </w:r>
    </w:p>
    <w:tbl>
      <w:tblPr>
        <w:tblW w:w="3485" w:type="dxa"/>
        <w:jc w:val="left"/>
        <w:tblInd w:w="0" w:type="dxa"/>
        <w:tblLayout w:type="fixed"/>
        <w:tblCellMar>
          <w:top w:w="0" w:type="dxa"/>
          <w:left w:w="0" w:type="dxa"/>
          <w:bottom w:w="0" w:type="dxa"/>
          <w:right w:w="0" w:type="dxa"/>
        </w:tblCellMar>
      </w:tblPr>
      <w:tblGrid>
        <w:gridCol w:w="916"/>
        <w:gridCol w:w="346"/>
        <w:gridCol w:w="1096"/>
        <w:gridCol w:w="346"/>
        <w:gridCol w:w="781"/>
      </w:tblGrid>
      <w:tr>
        <w:trPr/>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81660" cy="175260"/>
                      <wp:effectExtent l="0" t="0" r="0" b="0"/>
                      <wp:wrapNone/>
                      <wp:docPr id="179" name="Frame17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5960" cy="175260"/>
                      <wp:effectExtent l="0" t="0" r="0" b="0"/>
                      <wp:wrapNone/>
                      <wp:docPr id="181" name="Frame18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95935" cy="175260"/>
                      <wp:effectExtent l="0" t="0" r="0" b="0"/>
                      <wp:wrapNone/>
                      <wp:docPr id="183" name="Frame1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22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26,101</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25,924</w:t>
            </w:r>
          </w:p>
        </w:tc>
      </w:tr>
      <w:tr>
        <w:trPr/>
        <w:tc>
          <w:tcPr>
            <w:tcW w:w="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Germany</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13,131</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12,841</w:t>
            </w:r>
          </w:p>
        </w:tc>
      </w:tr>
      <w:tr>
        <w:trPr/>
        <w:tc>
          <w:tcPr>
            <w:tcW w:w="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others</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3,986</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3,685</w:t>
            </w:r>
          </w:p>
        </w:tc>
      </w:tr>
      <w:tr>
        <w:trPr/>
        <w:tc>
          <w:tcPr>
            <w:tcW w:w="9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43,218</w:t>
            </w:r>
          </w:p>
        </w:tc>
        <w:tc>
          <w:tcPr>
            <w:tcW w:w="346" w:type="dxa"/>
            <w:tcBorders/>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42,450</w:t>
            </w:r>
          </w:p>
        </w:tc>
      </w:tr>
    </w:tbl>
    <w:p>
      <w:pPr>
        <w:pStyle w:val="TextBody"/>
        <w:bidi w:val="0"/>
        <w:spacing w:before="0" w:after="24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than PRC and Germany, there were no countries that individually represented more than 10% of the total revenue for the six months ended June 30, 2025 and 2026.</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CASH DIVIDEND</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March 20, 2025, the Group approved and declared a cash dividend of US$0.097 per ordinary share, or US$0.97 per ADS, on its outstanding shares as of the close of trading on April 9, 2025. Such dividend of approximately RMB2,136 was fully paid in 2025.</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August 20, 2025, the Group approved and declared a cash dividend of US$0.081 per ordinary share, or US$0.81 per ADS, on its outstanding shares as of the close of trading on September 9, 2025. Such dividend of approximately RMB1,771 was mostly paid in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March 18, 2026, the Group approved and declared a cash dividend of US$0.13 per ordinary share, or US$1.30 per ADS, on its outstanding shares as of the close of trading on May 4, 2026. Such dividend of approximately RMB2,844 was mostly paid in the second quarter of 2026.</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August 17, 2026, the Group approved and declared a cash dividend of US$0.087 per ordinary share, or US$0.87 per ADS, on its outstanding shares as of the close of trading on September 8, 2026. Such dividend of approximately US$275 million was mostly paid in the third quarter of 2026.</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06" w:name="Tc_TSgbt5YSHkSm-pyyPDLj6Q_14_0"/>
      <w:bookmarkStart w:id="1107" w:name="Tc_RtdJtArd8Eu7jowl_gQ0ug_12_0"/>
      <w:bookmarkStart w:id="1108" w:name="Tc_ZLY_uhG5LkaYrWs5LMKEAA_10_0"/>
      <w:bookmarkStart w:id="1109" w:name="Tc_5yRy_gmJmki1jcDtWKtOwA_8_0"/>
      <w:bookmarkStart w:id="1110" w:name="Tc_k48BP_IlOUGfeZUYTIDI9w_7_0"/>
      <w:bookmarkStart w:id="1111" w:name="Tc_srNpKWDEN0yEV8iN4t-wJA_6_0"/>
      <w:bookmarkStart w:id="1112" w:name="Tc_5Cz1sgkfS0G8MQ0OmzWV5w_5_0"/>
      <w:bookmarkStart w:id="1113" w:name="Tc__ycMbuDQsUaZJdbh211H4A_4_0"/>
      <w:bookmarkStart w:id="1114" w:name="Tc_1qrd8HoqyEO0R6YYCY0B_w_3_0"/>
      <w:bookmarkStart w:id="1115" w:name="Tc_KM62UQP7z0qDDd0Y61lWfQ_2_4"/>
      <w:bookmarkStart w:id="1116" w:name="Tc_Lk6Y4xmblUWBqS7uzQom2w_2_2"/>
      <w:bookmarkStart w:id="1117" w:name="Tc_MzngWs5FU0WwoM9r_0I3Gg_1_4"/>
      <w:bookmarkStart w:id="1118" w:name="Tc_Z1E6RH803Eu7kIL5-3vFuw_1_2"/>
      <w:bookmarkStart w:id="1119" w:name="_8cffd41c_0627_4128_b405_2b329d71c7dd"/>
      <w:bookmarkStart w:id="1120" w:name="Tc_a5g8m6zNTUukHHUtr2VKjw_17_5"/>
      <w:bookmarkStart w:id="1121" w:name="Tc_biOR_yiypEi8d_VcxcV4Mg_17_3"/>
      <w:bookmarkStart w:id="1122" w:name="Tc_bBASx8G7jk-iNX0_cRoWKQ_17_0"/>
      <w:bookmarkStart w:id="1123" w:name="Tc_5KqLCvqd4EusOzA7ZWeitA_16_5"/>
      <w:bookmarkStart w:id="1124" w:name="Tc_1pxMSX-Vm0mykmp_bH3tMw_16_3"/>
      <w:bookmarkStart w:id="1125" w:name="Tc_qavv7H-XIkOkxXUUUebjSA_16_0"/>
      <w:bookmarkStart w:id="1126" w:name="Tc_x5nesRUFzkmwXJpMgVzdow_15_0"/>
      <w:bookmarkStart w:id="1127" w:name="Tc_QdXBO23neU-vm8mOK0UM7A_14_5"/>
      <w:bookmarkStart w:id="1128" w:name="Tc_-7zithRDkEW_BTqB420oSA_14_3"/>
      <w:bookmarkStart w:id="1129" w:name="Tc_SnASWewjiU-LI4aWpVBgCA_14_0"/>
      <w:bookmarkStart w:id="1130" w:name="Tc_3XzAgAELx0O4PB4hK5P3Aw_13_5"/>
      <w:bookmarkStart w:id="1131" w:name="Tc_O81KZ1RMY0yRNbXhJl80sg_13_3"/>
      <w:bookmarkStart w:id="1132" w:name="Tc_RmIG2v9gd0C0qLl7hf6JnQ_13_0"/>
      <w:bookmarkStart w:id="1133" w:name="Tc_rTlIOo2KpESHPRKRD_NOAA_12_0"/>
      <w:bookmarkStart w:id="1134" w:name="Tc_6RaFXZ0u80uP9K6mekvLow_11_0"/>
      <w:bookmarkStart w:id="1135" w:name="Tc_lkYsRybZXEiwMrUkv3bUnw_9_0"/>
      <w:bookmarkStart w:id="1136" w:name="Tc_dKU65vv2IUKcX6EQcOAsjA_8_0"/>
      <w:bookmarkStart w:id="1137" w:name="Tc_wmq5FdGgwECuWJIX4tE6Uw_7_0"/>
      <w:bookmarkStart w:id="1138" w:name="Tc_3-aktRYSFEuJ88oOFm5MTA_6_0"/>
      <w:bookmarkStart w:id="1139" w:name="Tc_lihm7HlItEOrwIrMYMuFAw_5_0"/>
      <w:bookmarkStart w:id="1140" w:name="Tc_6gPoauQ_D0aPQxuIduUjiw_4_0"/>
      <w:bookmarkStart w:id="1141" w:name="Tc_zm_Dl_hR_UySiac91hEezA_3_0"/>
      <w:bookmarkStart w:id="1142" w:name="Tc_Y3XJE7S-eEabxINTEkde9Q_2_4"/>
      <w:bookmarkStart w:id="1143" w:name="Tc_ZFKzRc_FRUShC58Y2avHXA_2_2"/>
      <w:bookmarkStart w:id="1144" w:name="Tc__3q9RgJBh0i25WG-R_JZLQ_1_2"/>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r>
        <w:rPr>
          <w:rFonts w:ascii="Times New Roman;Times;serif" w:hAnsi="Times New Roman;Times;serif"/>
          <w:b/>
          <w:i w:val="false"/>
          <w:caps w:val="false"/>
          <w:smallCaps w:val="false"/>
          <w:sz w:val="20"/>
        </w:rPr>
        <w:t>15.</w:t>
      </w:r>
      <w:r>
        <w:rPr>
          <w:rFonts w:ascii="Times New Roman;Times;serif" w:hAnsi="Times New Roman;Times;serif"/>
          <w:b/>
          <w:sz w:val="20"/>
        </w:rPr>
        <w:t>LEASES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leases mainly related to building and the rights to use the land. The total expense related to short-term leases was insignificant for the six months ended June 30, 2025 and 2026, and sublease income of the Group which was recognized in revenues in the consolidated statements of comprehensive income was RMB76 and RMB75 for the six months ended June 30, 2025 and 2026, respectively.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 summary of supplemental information related to operating leases for the </w:t>
      </w:r>
      <w:r>
        <w:rPr>
          <w:rFonts w:ascii="Times New Roman;Times;serif" w:hAnsi="Times New Roman;Times;serif"/>
          <w:sz w:val="21"/>
        </w:rPr>
        <w:t>six months ended June</w:t>
      </w:r>
      <w:r>
        <w:rPr>
          <w:rFonts w:ascii="Times New Roman;Times;serif" w:hAnsi="Times New Roman;Times;serif"/>
          <w:sz w:val="20"/>
        </w:rPr>
        <w:t xml:space="preserve"> 30, 2025 and 2026 is as follows:</w:t>
      </w:r>
    </w:p>
    <w:p>
      <w:pPr>
        <w:pStyle w:val="TextBody"/>
        <w:bidi w:val="0"/>
        <w:spacing w:before="0" w:after="240"/>
        <w:ind w:left="0" w:right="0" w:hanging="0"/>
        <w:jc w:val="both"/>
        <w:rPr/>
      </w:pPr>
      <w:r>
        <w:rPr/>
        <w:t>​</w:t>
      </w:r>
    </w:p>
    <w:tbl>
      <w:tblPr>
        <w:tblW w:w="6348" w:type="dxa"/>
        <w:jc w:val="left"/>
        <w:tblInd w:w="0" w:type="dxa"/>
        <w:tblLayout w:type="fixed"/>
        <w:tblCellMar>
          <w:top w:w="0" w:type="dxa"/>
          <w:left w:w="0" w:type="dxa"/>
          <w:bottom w:w="0" w:type="dxa"/>
          <w:right w:w="0" w:type="dxa"/>
        </w:tblCellMar>
      </w:tblPr>
      <w:tblGrid>
        <w:gridCol w:w="3316"/>
        <w:gridCol w:w="346"/>
        <w:gridCol w:w="724"/>
        <w:gridCol w:w="667"/>
        <w:gridCol w:w="724"/>
        <w:gridCol w:w="571"/>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05660" cy="175260"/>
                      <wp:effectExtent l="0" t="0" r="0" b="0"/>
                      <wp:wrapNone/>
                      <wp:docPr id="184" name="Frame184"/>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59740" cy="175260"/>
                      <wp:effectExtent l="0" t="0" r="0" b="0"/>
                      <wp:wrapNone/>
                      <wp:docPr id="186" name="Frame186"/>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23545" cy="175260"/>
                      <wp:effectExtent l="0" t="0" r="0" b="0"/>
                      <wp:wrapNone/>
                      <wp:docPr id="187" name="Frame187"/>
                      <a:graphic xmlns:a="http://schemas.openxmlformats.org/drawingml/2006/main">
                        <a:graphicData uri="http://schemas.microsoft.com/office/word/2010/wordprocessingShape">
                          <wps:wsp>
                            <wps:cNvSpPr txBox="1"/>
                            <wps:spPr>
                              <a:xfrm>
                                <a:off x="0" y="0"/>
                                <a:ext cx="423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59740" cy="175260"/>
                      <wp:effectExtent l="0" t="0" r="0" b="0"/>
                      <wp:wrapNone/>
                      <wp:docPr id="188" name="Frame188"/>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62585" cy="175260"/>
                      <wp:effectExtent l="0" t="0" r="0" b="0"/>
                      <wp:wrapNone/>
                      <wp:docPr id="189" name="Frame18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1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571" w:type="dxa"/>
            <w:tcBorders/>
            <w:vAlign w:val="center"/>
          </w:tcPr>
          <w:p>
            <w:pPr>
              <w:pStyle w:val="TableContents"/>
              <w:bidi w:val="0"/>
              <w:spacing w:before="0" w:after="1"/>
              <w:ind w:left="0" w:right="0" w:hanging="0"/>
              <w:jc w:val="center"/>
              <w:rPr/>
            </w:pPr>
            <w:r>
              <w:rPr/>
              <w:t> </w: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2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67" w:type="dxa"/>
            <w:tcBorders/>
            <w:vAlign w:val="center"/>
          </w:tcPr>
          <w:p>
            <w:pPr>
              <w:pStyle w:val="TableContents"/>
              <w:bidi w:val="0"/>
              <w:spacing w:before="0" w:after="1"/>
              <w:ind w:left="0" w:right="0" w:hanging="0"/>
              <w:jc w:val="left"/>
              <w:rPr/>
            </w:pPr>
            <w:r>
              <w:rPr/>
              <w:t>  ​ ​ ​</w:t>
            </w:r>
          </w:p>
        </w:tc>
        <w:tc>
          <w:tcPr>
            <w:tcW w:w="72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71" w:type="dxa"/>
            <w:tcBorders/>
            <w:vAlign w:val="center"/>
          </w:tcPr>
          <w:p>
            <w:pPr>
              <w:pStyle w:val="TableContents"/>
              <w:bidi w:val="0"/>
              <w:spacing w:before="0" w:after="1"/>
              <w:ind w:left="0" w:right="0" w:hanging="0"/>
              <w:jc w:val="left"/>
              <w:rPr/>
            </w:pPr>
            <w:r>
              <w:rPr/>
              <w:t>​</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cost:</w:t>
            </w:r>
          </w:p>
        </w:tc>
        <w:tc>
          <w:tcPr>
            <w:tcW w:w="346" w:type="dxa"/>
            <w:tcBorders/>
            <w:shd w:fill="CCEEFF" w:val="clear"/>
            <w:vAlign w:val="center"/>
          </w:tcPr>
          <w:p>
            <w:pPr>
              <w:pStyle w:val="TableContents"/>
              <w:bidi w:val="0"/>
              <w:spacing w:before="0" w:after="1"/>
              <w:ind w:left="0" w:right="0" w:hanging="0"/>
              <w:jc w:val="left"/>
              <w:rPr/>
            </w:pPr>
            <w:r>
              <w:rPr/>
              <w:t> </w:t>
            </w:r>
          </w:p>
        </w:tc>
        <w:tc>
          <w:tcPr>
            <w:tcW w:w="724" w:type="dxa"/>
            <w:tcBorders/>
            <w:shd w:fill="CCEEFF" w:val="clear"/>
            <w:vAlign w:val="center"/>
          </w:tcPr>
          <w:p>
            <w:pPr>
              <w:pStyle w:val="TableContents"/>
              <w:bidi w:val="0"/>
              <w:spacing w:before="0" w:after="1"/>
              <w:ind w:left="0" w:right="0" w:hanging="0"/>
              <w:jc w:val="left"/>
              <w:rPr/>
            </w:pPr>
            <w:r>
              <w:rPr/>
              <w:t>​</w:t>
            </w:r>
          </w:p>
        </w:tc>
        <w:tc>
          <w:tcPr>
            <w:tcW w:w="667"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right"/>
              <w:rPr/>
            </w:pPr>
            <w:r>
              <w:rPr/>
              <w:t>  ​</w:t>
            </w:r>
          </w:p>
        </w:tc>
        <w:tc>
          <w:tcPr>
            <w:tcW w:w="571" w:type="dxa"/>
            <w:tcBorders/>
            <w:shd w:fill="CCEEFF" w:val="clear"/>
            <w:vAlign w:val="center"/>
          </w:tcPr>
          <w:p>
            <w:pPr>
              <w:pStyle w:val="TableContents"/>
              <w:bidi w:val="0"/>
              <w:spacing w:before="0" w:after="1"/>
              <w:ind w:left="0" w:right="0" w:hanging="0"/>
              <w:jc w:val="left"/>
              <w:rPr/>
            </w:pPr>
            <w:r>
              <w:rPr/>
              <w:t>​</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fixed lease cost</w:t>
            </w:r>
          </w:p>
        </w:tc>
        <w:tc>
          <w:tcPr>
            <w:tcW w:w="346" w:type="dxa"/>
            <w:tcBorders/>
            <w:vAlign w:val="center"/>
          </w:tcPr>
          <w:p>
            <w:pPr>
              <w:pStyle w:val="TableContents"/>
              <w:bidi w:val="0"/>
              <w:spacing w:before="0" w:after="1"/>
              <w:ind w:left="0" w:right="0" w:hanging="0"/>
              <w:jc w:val="left"/>
              <w:rPr/>
            </w:pPr>
            <w:r>
              <w:rPr/>
              <w:t> </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1,990</w:t>
            </w:r>
          </w:p>
        </w:tc>
        <w:tc>
          <w:tcPr>
            <w:tcW w:w="667"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1,957</w:t>
            </w:r>
          </w:p>
        </w:tc>
        <w:tc>
          <w:tcPr>
            <w:tcW w:w="571" w:type="dxa"/>
            <w:tcBorders/>
            <w:vAlign w:val="center"/>
          </w:tcPr>
          <w:p>
            <w:pPr>
              <w:pStyle w:val="TableContents"/>
              <w:bidi w:val="0"/>
              <w:spacing w:before="0" w:after="1"/>
              <w:ind w:left="0" w:right="0" w:hanging="0"/>
              <w:jc w:val="left"/>
              <w:rPr/>
            </w:pPr>
            <w:r>
              <w:rPr/>
              <w:t>​</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346"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right"/>
              <w:rPr/>
            </w:pPr>
            <w:r>
              <w:rPr/>
              <w:t>​</w:t>
            </w:r>
          </w:p>
        </w:tc>
        <w:tc>
          <w:tcPr>
            <w:tcW w:w="667"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r>
      <w:tr>
        <w:trPr/>
        <w:tc>
          <w:tcPr>
            <w:tcW w:w="3316" w:type="dxa"/>
            <w:tcBorders/>
            <w:vAlign w:val="center"/>
          </w:tcPr>
          <w:p>
            <w:pPr>
              <w:pStyle w:val="TableContents"/>
              <w:bidi w:val="0"/>
              <w:spacing w:before="0" w:after="1"/>
              <w:ind w:left="0" w:right="0" w:hanging="0"/>
              <w:jc w:val="left"/>
              <w:rPr/>
            </w:pPr>
            <w:r>
              <w:rPr/>
              <w:t xml:space="preserve">— </w:t>
            </w:r>
            <w:r>
              <w:rPr>
                <w:rFonts w:ascii="Times New Roman;Times;serif" w:hAnsi="Times New Roman;Times;serif"/>
                <w:sz w:val="20"/>
              </w:rPr>
              <w:t>Amortization of ROU assets</w:t>
            </w:r>
          </w:p>
        </w:tc>
        <w:tc>
          <w:tcPr>
            <w:tcW w:w="346"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667"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571" w:type="dxa"/>
            <w:tcBorders/>
            <w:vAlign w:val="center"/>
          </w:tcPr>
          <w:p>
            <w:pPr>
              <w:pStyle w:val="TableContents"/>
              <w:bidi w:val="0"/>
              <w:spacing w:before="0" w:after="1"/>
              <w:ind w:left="0" w:right="0" w:hanging="0"/>
              <w:jc w:val="left"/>
              <w:rPr/>
            </w:pPr>
            <w:r>
              <w:rPr/>
              <w:t>​</w:t>
            </w:r>
          </w:p>
        </w:tc>
      </w:tr>
      <w:tr>
        <w:trPr/>
        <w:tc>
          <w:tcPr>
            <w:tcW w:w="3316" w:type="dxa"/>
            <w:tcBorders/>
            <w:shd w:fill="CCEEFF" w:val="clear"/>
            <w:vAlign w:val="center"/>
          </w:tcPr>
          <w:p>
            <w:pPr>
              <w:pStyle w:val="TableContents"/>
              <w:bidi w:val="0"/>
              <w:spacing w:before="0" w:after="1"/>
              <w:ind w:left="0" w:right="0" w:hanging="0"/>
              <w:jc w:val="left"/>
              <w:rPr/>
            </w:pPr>
            <w:r>
              <w:rPr/>
              <w:t xml:space="preserve">— </w:t>
            </w:r>
            <w:r>
              <w:rPr>
                <w:rFonts w:ascii="Times New Roman;Times;serif" w:hAnsi="Times New Roman;Times;serif"/>
                <w:sz w:val="20"/>
              </w:rPr>
              <w:t>Interest on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667"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571" w:type="dxa"/>
            <w:tcBorders/>
            <w:shd w:fill="CCEEFF" w:val="clear"/>
            <w:vAlign w:val="center"/>
          </w:tcPr>
          <w:p>
            <w:pPr>
              <w:pStyle w:val="TableContents"/>
              <w:bidi w:val="0"/>
              <w:spacing w:before="0" w:after="1"/>
              <w:ind w:left="0" w:right="0" w:hanging="0"/>
              <w:jc w:val="left"/>
              <w:rPr/>
            </w:pPr>
            <w:r>
              <w:rPr/>
              <w:t>​</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46" w:type="dxa"/>
            <w:tcBorders/>
            <w:vAlign w:val="center"/>
          </w:tcPr>
          <w:p>
            <w:pPr>
              <w:pStyle w:val="TableContents"/>
              <w:bidi w:val="0"/>
              <w:spacing w:before="0" w:after="1"/>
              <w:ind w:left="0" w:right="0" w:hanging="0"/>
              <w:jc w:val="left"/>
              <w:rPr/>
            </w:pPr>
            <w:r>
              <w:rPr/>
              <w:t> </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667"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c>
          <w:tcPr>
            <w:tcW w:w="571" w:type="dxa"/>
            <w:tcBorders/>
            <w:vAlign w:val="center"/>
          </w:tcPr>
          <w:p>
            <w:pPr>
              <w:pStyle w:val="TableContents"/>
              <w:bidi w:val="0"/>
              <w:spacing w:before="0" w:after="1"/>
              <w:ind w:left="0" w:right="0" w:hanging="0"/>
              <w:jc w:val="left"/>
              <w:rPr/>
            </w:pPr>
            <w:r>
              <w:rPr/>
              <w:t>​</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346" w:type="dxa"/>
            <w:tcBorders/>
            <w:shd w:fill="CCEEFF" w:val="clear"/>
            <w:vAlign w:val="center"/>
          </w:tcPr>
          <w:p>
            <w:pPr>
              <w:pStyle w:val="TableContents"/>
              <w:bidi w:val="0"/>
              <w:spacing w:before="0" w:after="1"/>
              <w:ind w:left="0" w:right="0" w:hanging="0"/>
              <w:jc w:val="left"/>
              <w:rPr/>
            </w:pPr>
            <w:r>
              <w:rPr/>
              <w:t> </w:t>
            </w:r>
          </w:p>
        </w:tc>
        <w:tc>
          <w:tcPr>
            <w:tcW w:w="7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2,217</w:t>
            </w:r>
          </w:p>
        </w:tc>
        <w:tc>
          <w:tcPr>
            <w:tcW w:w="667" w:type="dxa"/>
            <w:tcBorders/>
            <w:shd w:fill="CCEEFF" w:val="clear"/>
            <w:vAlign w:val="center"/>
          </w:tcPr>
          <w:p>
            <w:pPr>
              <w:pStyle w:val="TableContents"/>
              <w:bidi w:val="0"/>
              <w:spacing w:before="0" w:after="1"/>
              <w:ind w:left="0" w:right="0" w:hanging="0"/>
              <w:jc w:val="left"/>
              <w:rPr/>
            </w:pPr>
            <w:r>
              <w:rPr/>
              <w:t>​</w:t>
            </w:r>
          </w:p>
        </w:tc>
        <w:tc>
          <w:tcPr>
            <w:tcW w:w="7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2,214</w:t>
            </w:r>
          </w:p>
        </w:tc>
        <w:tc>
          <w:tcPr>
            <w:tcW w:w="571" w:type="dxa"/>
            <w:tcBorders/>
            <w:shd w:fill="CCEEFF" w:val="clear"/>
            <w:vAlign w:val="center"/>
          </w:tcPr>
          <w:p>
            <w:pPr>
              <w:pStyle w:val="TableContents"/>
              <w:bidi w:val="0"/>
              <w:spacing w:before="0" w:after="1"/>
              <w:ind w:left="0" w:right="0" w:hanging="0"/>
              <w:jc w:val="left"/>
              <w:rPr/>
            </w:pPr>
            <w:r>
              <w:rPr/>
              <w:t>​</w:t>
            </w:r>
          </w:p>
        </w:tc>
      </w:tr>
      <w:tr>
        <w:trPr/>
        <w:tc>
          <w:tcPr>
            <w:tcW w:w="33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left"/>
              <w:rPr/>
            </w:pPr>
            <w:r>
              <w:rPr/>
              <w:t>​</w:t>
            </w:r>
          </w:p>
        </w:tc>
        <w:tc>
          <w:tcPr>
            <w:tcW w:w="667"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information:</w:t>
            </w:r>
          </w:p>
        </w:tc>
        <w:tc>
          <w:tcPr>
            <w:tcW w:w="346" w:type="dxa"/>
            <w:tcBorders/>
            <w:shd w:fill="CCEEFF" w:val="clear"/>
            <w:vAlign w:val="center"/>
          </w:tcPr>
          <w:p>
            <w:pPr>
              <w:pStyle w:val="TableContents"/>
              <w:bidi w:val="0"/>
              <w:spacing w:before="0" w:after="1"/>
              <w:ind w:left="0" w:right="0" w:hanging="0"/>
              <w:jc w:val="left"/>
              <w:rPr/>
            </w:pPr>
            <w:r>
              <w:rPr/>
              <w:t> </w:t>
            </w:r>
          </w:p>
        </w:tc>
        <w:tc>
          <w:tcPr>
            <w:tcW w:w="724" w:type="dxa"/>
            <w:tcBorders/>
            <w:shd w:fill="CCEEFF" w:val="clear"/>
            <w:vAlign w:val="center"/>
          </w:tcPr>
          <w:p>
            <w:pPr>
              <w:pStyle w:val="TableContents"/>
              <w:bidi w:val="0"/>
              <w:spacing w:before="0" w:after="1"/>
              <w:ind w:left="0" w:right="0" w:hanging="0"/>
              <w:jc w:val="right"/>
              <w:rPr/>
            </w:pPr>
            <w:r>
              <w:rPr/>
              <w:t>​</w:t>
            </w:r>
          </w:p>
        </w:tc>
        <w:tc>
          <w:tcPr>
            <w:tcW w:w="667"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remaining lease term</w:t>
            </w:r>
          </w:p>
        </w:tc>
        <w:tc>
          <w:tcPr>
            <w:tcW w:w="346" w:type="dxa"/>
            <w:tcBorders/>
            <w:vAlign w:val="center"/>
          </w:tcPr>
          <w:p>
            <w:pPr>
              <w:pStyle w:val="TableContents"/>
              <w:bidi w:val="0"/>
              <w:spacing w:before="0" w:after="1"/>
              <w:ind w:left="0" w:right="0" w:hanging="0"/>
              <w:jc w:val="left"/>
              <w:rPr/>
            </w:pPr>
            <w:r>
              <w:rPr/>
              <w:t> </w:t>
            </w:r>
          </w:p>
        </w:tc>
        <w:tc>
          <w:tcPr>
            <w:tcW w:w="724" w:type="dxa"/>
            <w:tcBorders/>
            <w:vAlign w:val="center"/>
          </w:tcPr>
          <w:p>
            <w:pPr>
              <w:pStyle w:val="TableContents"/>
              <w:bidi w:val="0"/>
              <w:spacing w:before="0" w:after="1"/>
              <w:ind w:left="0" w:right="0" w:hanging="0"/>
              <w:jc w:val="right"/>
              <w:rPr/>
            </w:pPr>
            <w:r>
              <w:rPr/>
              <w:t>​</w:t>
            </w:r>
          </w:p>
        </w:tc>
        <w:tc>
          <w:tcPr>
            <w:tcW w:w="667"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6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years</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46"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6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years</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346"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right"/>
              <w:rPr/>
            </w:pPr>
            <w:r>
              <w:rPr/>
              <w:t>​</w:t>
            </w:r>
          </w:p>
        </w:tc>
        <w:tc>
          <w:tcPr>
            <w:tcW w:w="667"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r>
      <w:tr>
        <w:trPr/>
        <w:tc>
          <w:tcPr>
            <w:tcW w:w="3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w:t>
            </w:r>
          </w:p>
        </w:tc>
        <w:tc>
          <w:tcPr>
            <w:tcW w:w="6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46" w:type="dxa"/>
            <w:tcBorders/>
            <w:shd w:fill="CCEEFF" w:val="clear"/>
            <w:vAlign w:val="center"/>
          </w:tcPr>
          <w:p>
            <w:pPr>
              <w:pStyle w:val="TableContents"/>
              <w:bidi w:val="0"/>
              <w:spacing w:before="0" w:after="1"/>
              <w:ind w:left="0" w:right="0" w:hanging="0"/>
              <w:jc w:val="left"/>
              <w:rPr/>
            </w:pPr>
            <w:r>
              <w:rPr/>
              <w:t> </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w:t>
            </w:r>
          </w:p>
        </w:tc>
        <w:tc>
          <w:tcPr>
            <w:tcW w:w="6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30, 2026, the maturities of lease liabilities in accordance with ASC 842 in each of the next five years and thereafter are as follows:</w:t>
      </w:r>
    </w:p>
    <w:p>
      <w:pPr>
        <w:pStyle w:val="TextBody"/>
        <w:bidi w:val="0"/>
        <w:spacing w:before="0" w:after="240"/>
        <w:ind w:left="0" w:right="0" w:firstLine="360"/>
        <w:jc w:val="left"/>
        <w:rPr/>
      </w:pPr>
      <w:r>
        <w:rPr/>
        <w:t>​</w:t>
      </w:r>
    </w:p>
    <w:tbl>
      <w:tblPr>
        <w:tblW w:w="6650" w:type="dxa"/>
        <w:jc w:val="left"/>
        <w:tblInd w:w="0" w:type="dxa"/>
        <w:tblLayout w:type="fixed"/>
        <w:tblCellMar>
          <w:top w:w="0" w:type="dxa"/>
          <w:left w:w="0" w:type="dxa"/>
          <w:bottom w:w="0" w:type="dxa"/>
          <w:right w:w="0" w:type="dxa"/>
        </w:tblCellMar>
      </w:tblPr>
      <w:tblGrid>
        <w:gridCol w:w="3511"/>
        <w:gridCol w:w="346"/>
        <w:gridCol w:w="1291"/>
        <w:gridCol w:w="346"/>
        <w:gridCol w:w="1156"/>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229485" cy="175260"/>
                      <wp:effectExtent l="0" t="0" r="0" b="0"/>
                      <wp:wrapNone/>
                      <wp:docPr id="190" name="Frame190"/>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819785" cy="175260"/>
                      <wp:effectExtent l="0" t="0" r="0" b="0"/>
                      <wp:wrapNone/>
                      <wp:docPr id="192" name="Frame192"/>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734060" cy="175260"/>
                      <wp:effectExtent l="0" t="0" r="0" b="0"/>
                      <wp:wrapNone/>
                      <wp:docPr id="194" name="Frame194"/>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Operating</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Finance</w:t>
            </w:r>
          </w:p>
        </w:tc>
      </w:tr>
      <w:tr>
        <w:trPr/>
        <w:tc>
          <w:tcPr>
            <w:tcW w:w="3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46" w:type="dxa"/>
            <w:tcBorders/>
            <w:vAlign w:val="center"/>
          </w:tcPr>
          <w:p>
            <w:pPr>
              <w:pStyle w:val="TableContents"/>
              <w:bidi w:val="0"/>
              <w:spacing w:before="0" w:after="1"/>
              <w:ind w:left="0" w:right="0" w:hanging="0"/>
              <w:jc w:val="left"/>
              <w:rPr/>
            </w:pPr>
            <w:r>
              <w:rPr/>
              <w:t>  ​ ​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2,210</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3,625</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3,458</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 </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3,292</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 </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3,099</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Thereafter </w:t>
            </w:r>
          </w:p>
        </w:tc>
        <w:tc>
          <w:tcPr>
            <w:tcW w:w="346" w:type="dxa"/>
            <w:tcBorders/>
            <w:vAlign w:val="center"/>
          </w:tcPr>
          <w:p>
            <w:pPr>
              <w:pStyle w:val="TableContents"/>
              <w:bidi w:val="0"/>
              <w:spacing w:before="0" w:after="1"/>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21,736</w:t>
            </w:r>
          </w:p>
        </w:tc>
        <w:tc>
          <w:tcPr>
            <w:tcW w:w="346" w:type="dxa"/>
            <w:tcBorders/>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4,126</w:t>
            </w:r>
          </w:p>
        </w:tc>
      </w:tr>
      <w:tr>
        <w:trPr/>
        <w:tc>
          <w:tcPr>
            <w:tcW w:w="3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left"/>
              <w:rPr/>
            </w:pPr>
            <w:r>
              <w:rPr/>
              <w:t>​</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minimum lease payments</w:t>
            </w:r>
          </w:p>
        </w:tc>
        <w:tc>
          <w:tcPr>
            <w:tcW w:w="346"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37,420</w:t>
            </w:r>
          </w:p>
        </w:tc>
        <w:tc>
          <w:tcPr>
            <w:tcW w:w="346"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4,984</w:t>
            </w:r>
          </w:p>
        </w:tc>
      </w:tr>
      <w:tr>
        <w:trPr/>
        <w:tc>
          <w:tcPr>
            <w:tcW w:w="3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left"/>
              <w:rPr/>
            </w:pPr>
            <w:r>
              <w:rPr/>
              <w:t>​</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amount representing interest</w:t>
            </w:r>
          </w:p>
        </w:tc>
        <w:tc>
          <w:tcPr>
            <w:tcW w:w="346" w:type="dxa"/>
            <w:tcBorders/>
            <w:vAlign w:val="center"/>
          </w:tcPr>
          <w:p>
            <w:pPr>
              <w:pStyle w:val="TableContents"/>
              <w:bidi w:val="0"/>
              <w:spacing w:before="0" w:after="1"/>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10,405</w:t>
            </w:r>
          </w:p>
        </w:tc>
        <w:tc>
          <w:tcPr>
            <w:tcW w:w="346" w:type="dxa"/>
            <w:tcBorders/>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1,991</w:t>
            </w:r>
          </w:p>
        </w:tc>
      </w:tr>
      <w:tr>
        <w:trPr/>
        <w:tc>
          <w:tcPr>
            <w:tcW w:w="3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left"/>
              <w:rPr/>
            </w:pPr>
            <w:r>
              <w:rPr/>
              <w:t>​</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minimum lease payments</w:t>
            </w:r>
          </w:p>
        </w:tc>
        <w:tc>
          <w:tcPr>
            <w:tcW w:w="346" w:type="dxa"/>
            <w:tcBorders/>
            <w:vAlign w:val="center"/>
          </w:tcPr>
          <w:p>
            <w:pPr>
              <w:pStyle w:val="TableContents"/>
              <w:bidi w:val="0"/>
              <w:spacing w:before="0" w:after="1"/>
              <w:ind w:left="0" w:right="0" w:hanging="0"/>
              <w:jc w:val="left"/>
              <w:rPr/>
            </w:pPr>
            <w:r>
              <w:rPr/>
              <w:t> </w:t>
            </w:r>
          </w:p>
        </w:tc>
        <w:tc>
          <w:tcPr>
            <w:tcW w:w="12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27,015</w:t>
            </w:r>
          </w:p>
        </w:tc>
        <w:tc>
          <w:tcPr>
            <w:tcW w:w="346" w:type="dxa"/>
            <w:tcBorders/>
            <w:vAlign w:val="center"/>
          </w:tcPr>
          <w:p>
            <w:pPr>
              <w:pStyle w:val="TableContents"/>
              <w:bidi w:val="0"/>
              <w:spacing w:before="0" w:after="1"/>
              <w:ind w:left="0" w:right="0" w:hanging="0"/>
              <w:jc w:val="left"/>
              <w:rPr/>
            </w:pPr>
            <w:r>
              <w:rPr/>
              <w:t>​</w:t>
            </w:r>
          </w:p>
        </w:tc>
        <w:tc>
          <w:tcPr>
            <w:tcW w:w="115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2,993</w:t>
            </w:r>
          </w:p>
        </w:tc>
      </w:tr>
    </w:tbl>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145" w:name="Tc_amKxyjIU9EimC4kywclpGQ_5_0"/>
      <w:bookmarkStart w:id="1146" w:name="Tc_JQQVyZx0LE2KWIaitsnCrw_4_0"/>
      <w:bookmarkStart w:id="1147" w:name="Tc_EBnx8mFtok2nKrBBKgJ52w_3_0"/>
      <w:bookmarkStart w:id="1148" w:name="Tc_mThQ46ECu0a6DMhIvc6Z-g_2_4"/>
      <w:bookmarkStart w:id="1149" w:name="Tc_-N52JOgCSEKPve9YWzhRNw_2_2"/>
      <w:bookmarkStart w:id="1150" w:name="Tc_GZ-3A6rpQ0eyPsDE6sDqyg_1_2"/>
      <w:bookmarkEnd w:id="1145"/>
      <w:bookmarkEnd w:id="1146"/>
      <w:bookmarkEnd w:id="1147"/>
      <w:bookmarkEnd w:id="1148"/>
      <w:bookmarkEnd w:id="1149"/>
      <w:bookmarkEnd w:id="1150"/>
      <w:r>
        <w:rPr>
          <w:rFonts w:ascii="Times New Roman;Times;serif" w:hAnsi="Times New Roman;Times;serif"/>
          <w:sz w:val="20"/>
        </w:rPr>
        <w:t>As of June 30, 2026, the Group has entered 11 lease contracts that the Group expects to account for as operating or finance leases, the future undiscounted lease payments for these non-cancellable lease contracts are RMB3,450, which is not reflected in the consolidated balance sheets.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Supplemental cash flow information related to leases for the six months ended June 30, 2025 and 2026 are as follows:</w:t>
      </w:r>
    </w:p>
    <w:p>
      <w:pPr>
        <w:pStyle w:val="TextBody"/>
        <w:bidi w:val="0"/>
        <w:spacing w:before="0" w:after="0"/>
        <w:ind w:left="0" w:right="0" w:hanging="0"/>
        <w:jc w:val="left"/>
        <w:rPr/>
      </w:pPr>
      <w:r>
        <w:rPr/>
        <w:t>​</w:t>
      </w:r>
    </w:p>
    <w:tbl>
      <w:tblPr>
        <w:tblW w:w="9091" w:type="dxa"/>
        <w:jc w:val="left"/>
        <w:tblInd w:w="0" w:type="dxa"/>
        <w:tblLayout w:type="fixed"/>
        <w:tblCellMar>
          <w:top w:w="0" w:type="dxa"/>
          <w:left w:w="0" w:type="dxa"/>
          <w:bottom w:w="0" w:type="dxa"/>
          <w:right w:w="0" w:type="dxa"/>
        </w:tblCellMar>
      </w:tblPr>
      <w:tblGrid>
        <w:gridCol w:w="6631"/>
        <w:gridCol w:w="346"/>
        <w:gridCol w:w="757"/>
        <w:gridCol w:w="458"/>
        <w:gridCol w:w="899"/>
      </w:tblGrid>
      <w:tr>
        <w:trPr/>
        <w:tc>
          <w:tcPr>
            <w:tcW w:w="6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210685" cy="175260"/>
                      <wp:effectExtent l="0" t="0" r="0" b="0"/>
                      <wp:wrapNone/>
                      <wp:docPr id="195" name="Frame195"/>
                      <a:graphic xmlns:a="http://schemas.openxmlformats.org/drawingml/2006/main">
                        <a:graphicData uri="http://schemas.microsoft.com/office/word/2010/wordprocessingShape">
                          <wps:wsp>
                            <wps:cNvSpPr txBox="1"/>
                            <wps:spPr>
                              <a:xfrm>
                                <a:off x="0" y="0"/>
                                <a:ext cx="421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80695" cy="175260"/>
                      <wp:effectExtent l="0" t="0" r="0" b="0"/>
                      <wp:wrapNone/>
                      <wp:docPr id="197" name="Frame197"/>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90830" cy="175260"/>
                      <wp:effectExtent l="0" t="0" r="0" b="0"/>
                      <wp:wrapNone/>
                      <wp:docPr id="198" name="Frame198"/>
                      <a:graphic xmlns:a="http://schemas.openxmlformats.org/drawingml/2006/main">
                        <a:graphicData uri="http://schemas.microsoft.com/office/word/2010/wordprocessingShape">
                          <wps:wsp>
                            <wps:cNvSpPr txBox="1"/>
                            <wps:spPr>
                              <a:xfrm>
                                <a:off x="0" y="0"/>
                                <a:ext cx="290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70865" cy="175260"/>
                      <wp:effectExtent l="0" t="0" r="0" b="0"/>
                      <wp:wrapNone/>
                      <wp:docPr id="199" name="Frame199"/>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6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5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58" w:type="dxa"/>
            <w:tcBorders/>
            <w:vAlign w:val="center"/>
          </w:tcPr>
          <w:p>
            <w:pPr>
              <w:pStyle w:val="TableContents"/>
              <w:bidi w:val="0"/>
              <w:spacing w:before="0" w:after="0"/>
              <w:ind w:left="0" w:right="0" w:hanging="0"/>
              <w:jc w:val="left"/>
              <w:rPr/>
            </w:pPr>
            <w:r>
              <w:rPr/>
              <w:t>  ​ ​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6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operating 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2,108</w:t>
            </w:r>
          </w:p>
        </w:tc>
        <w:tc>
          <w:tcPr>
            <w:tcW w:w="458"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1,991</w:t>
            </w:r>
          </w:p>
        </w:tc>
      </w:tr>
      <w:tr>
        <w:trPr/>
        <w:tc>
          <w:tcPr>
            <w:tcW w:w="6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finance lease liabilities</w:t>
            </w:r>
          </w:p>
        </w:tc>
        <w:tc>
          <w:tcPr>
            <w:tcW w:w="346"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458"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66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right-of-use assets obtained in exchange for operating 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c>
          <w:tcPr>
            <w:tcW w:w="458"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1,086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EMPLOYEE BENEFIT PLANS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Full time employees of the Group in the PRC participate in a government-mandated defined contribution plan pursuant to which certain pension benefits, medical care, unemployment insurance, employee housing fund and other welfare benefits are provided to employees. PRC labor regulations require the Group to accrue for these benefits based on a certain percentage of the employees’ salaries. The total contribution for such employee benefits were RMB468 and RMB547 for the six months ended June 30, 2025 and 2026. The Group has no ongoing obligation to its employees subsequent to its contribution to the PRC plan.</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Furthermore, the Group pays contribution to governmental and private pension insurance organizations based on legal regulations in some countries out of PRC. The contributions are recognized as expense and amount RMB46 and RMB65 for the six months ended June 30, 2025 and 2026.</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RELATED PARTY TRANSACTIONS AND BALANCES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Parties are considered to be related if one party has the ability, directly or indirectly, to control the other party or exercise significant influence over the other party in making financial and operational decisions. Parties are also considered to be related if they are subject to common control or common significant influence. Related parties may be individuals or corporate entities.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following entities are considered to be related parties to the Group. The related parties mainly act as service providers and service recipients to the Group. </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56"/>
        <w:gridCol w:w="346"/>
        <w:gridCol w:w="2091"/>
        <w:gridCol w:w="346"/>
        <w:gridCol w:w="386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258060" cy="175260"/>
                      <wp:effectExtent l="0" t="0" r="0" b="0"/>
                      <wp:wrapNone/>
                      <wp:docPr id="200" name="Frame200"/>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27785" cy="175260"/>
                      <wp:effectExtent l="0" t="0" r="0" b="0"/>
                      <wp:wrapNone/>
                      <wp:docPr id="202" name="Frame202"/>
                      <a:graphic xmlns:a="http://schemas.openxmlformats.org/drawingml/2006/main">
                        <a:graphicData uri="http://schemas.microsoft.com/office/word/2010/wordprocessingShape">
                          <wps:wsp>
                            <wps:cNvSpPr txBox="1"/>
                            <wps:spPr>
                              <a:xfrm>
                                <a:off x="0" y="0"/>
                                <a:ext cx="1327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454910" cy="175260"/>
                      <wp:effectExtent l="0" t="0" r="0" b="0"/>
                      <wp:wrapNone/>
                      <wp:docPr id="204" name="Frame204"/>
                      <a:graphic xmlns:a="http://schemas.openxmlformats.org/drawingml/2006/main">
                        <a:graphicData uri="http://schemas.microsoft.com/office/word/2010/wordprocessingShape">
                          <wps:wsp>
                            <wps:cNvSpPr txBox="1"/>
                            <wps:spPr>
                              <a:xfrm>
                                <a:off x="0" y="0"/>
                                <a:ext cx="2454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6"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Related Party</w:t>
            </w:r>
          </w:p>
        </w:tc>
        <w:tc>
          <w:tcPr>
            <w:tcW w:w="346" w:type="dxa"/>
            <w:tcBorders/>
            <w:vAlign w:val="center"/>
          </w:tcPr>
          <w:p>
            <w:pPr>
              <w:pStyle w:val="TableContents"/>
              <w:bidi w:val="0"/>
              <w:spacing w:before="0" w:after="1"/>
              <w:ind w:left="0" w:right="0" w:hanging="0"/>
              <w:jc w:val="center"/>
              <w:rPr/>
            </w:pPr>
            <w:r>
              <w:rPr/>
              <w:t>  ​ ​ ​</w:t>
            </w:r>
          </w:p>
        </w:tc>
        <w:tc>
          <w:tcPr>
            <w:tcW w:w="20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Nature of the Party</w:t>
            </w:r>
          </w:p>
        </w:tc>
        <w:tc>
          <w:tcPr>
            <w:tcW w:w="346" w:type="dxa"/>
            <w:tcBorders/>
            <w:vAlign w:val="center"/>
          </w:tcPr>
          <w:p>
            <w:pPr>
              <w:pStyle w:val="TableContents"/>
              <w:bidi w:val="0"/>
              <w:spacing w:before="0" w:after="1"/>
              <w:ind w:left="0" w:right="0" w:hanging="0"/>
              <w:jc w:val="center"/>
              <w:rPr/>
            </w:pPr>
            <w:r>
              <w:rPr/>
              <w:t>  ​ ​ ​</w:t>
            </w:r>
          </w:p>
        </w:tc>
        <w:tc>
          <w:tcPr>
            <w:tcW w:w="38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Relationship with the Group</w:t>
            </w:r>
          </w:p>
        </w:tc>
      </w:tr>
      <w:tr>
        <w:trPr/>
        <w:tc>
          <w:tcPr>
            <w:tcW w:w="35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Trip.com Group Limited (“Trip.com”)</w:t>
            </w:r>
          </w:p>
        </w:tc>
        <w:tc>
          <w:tcPr>
            <w:tcW w:w="346" w:type="dxa"/>
            <w:tcBorders/>
            <w:shd w:fill="CCEEFF" w:val="clear"/>
            <w:vAlign w:val="center"/>
          </w:tcPr>
          <w:p>
            <w:pPr>
              <w:pStyle w:val="TableContents"/>
              <w:bidi w:val="0"/>
              <w:spacing w:before="0" w:after="1"/>
              <w:ind w:left="0" w:right="0" w:hanging="0"/>
              <w:jc w:val="left"/>
              <w:rPr/>
            </w:pPr>
            <w:r>
              <w:rPr/>
              <w:t> </w:t>
            </w:r>
          </w:p>
        </w:tc>
        <w:tc>
          <w:tcPr>
            <w:tcW w:w="2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Online travel services provider</w:t>
            </w:r>
          </w:p>
        </w:tc>
        <w:tc>
          <w:tcPr>
            <w:tcW w:w="346" w:type="dxa"/>
            <w:tcBorders/>
            <w:shd w:fill="CCEEFF" w:val="clear"/>
            <w:vAlign w:val="center"/>
          </w:tcPr>
          <w:p>
            <w:pPr>
              <w:pStyle w:val="TableContents"/>
              <w:bidi w:val="0"/>
              <w:spacing w:before="0" w:after="1"/>
              <w:ind w:left="0" w:right="0" w:hanging="0"/>
              <w:jc w:val="left"/>
              <w:rPr/>
            </w:pPr>
            <w:r>
              <w:rPr/>
              <w:t> </w:t>
            </w:r>
          </w:p>
        </w:tc>
        <w:tc>
          <w:tcPr>
            <w:tcW w:w="3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Shareholder of the Group;</w:t>
              <w:br/>
              <w:t>One officer of Trip.com is a family member of the Group’s director</w:t>
            </w:r>
          </w:p>
        </w:tc>
      </w:tr>
      <w:tr>
        <w:trPr/>
        <w:tc>
          <w:tcPr>
            <w:tcW w:w="355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China Cjia Group Limited (“Cjia Group”)</w:t>
            </w:r>
          </w:p>
        </w:tc>
        <w:tc>
          <w:tcPr>
            <w:tcW w:w="346" w:type="dxa"/>
            <w:tcBorders/>
            <w:vAlign w:val="center"/>
          </w:tcPr>
          <w:p>
            <w:pPr>
              <w:pStyle w:val="TableContents"/>
              <w:bidi w:val="0"/>
              <w:spacing w:before="0" w:after="1"/>
              <w:ind w:left="0" w:right="0" w:hanging="0"/>
              <w:jc w:val="left"/>
              <w:rPr/>
            </w:pPr>
            <w:r>
              <w:rPr/>
              <w:t> </w:t>
            </w:r>
          </w:p>
        </w:tc>
        <w:tc>
          <w:tcPr>
            <w:tcW w:w="2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Apartment Management Group</w:t>
            </w:r>
          </w:p>
        </w:tc>
        <w:tc>
          <w:tcPr>
            <w:tcW w:w="346" w:type="dxa"/>
            <w:tcBorders/>
            <w:vAlign w:val="center"/>
          </w:tcPr>
          <w:p>
            <w:pPr>
              <w:pStyle w:val="TableContents"/>
              <w:bidi w:val="0"/>
              <w:spacing w:before="0" w:after="1"/>
              <w:ind w:left="0" w:right="0" w:hanging="0"/>
              <w:jc w:val="left"/>
              <w:rPr/>
            </w:pPr>
            <w:r>
              <w:rPr/>
              <w:t> </w:t>
            </w:r>
          </w:p>
        </w:tc>
        <w:tc>
          <w:tcPr>
            <w:tcW w:w="3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method investee of the Group</w:t>
            </w:r>
          </w:p>
        </w:tc>
      </w:tr>
      <w:tr>
        <w:trPr/>
        <w:tc>
          <w:tcPr>
            <w:tcW w:w="35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Shanghai Zhuchuang Enterprise Management Co., Ltd. (“Zhuchuang”)</w:t>
            </w:r>
          </w:p>
        </w:tc>
        <w:tc>
          <w:tcPr>
            <w:tcW w:w="346" w:type="dxa"/>
            <w:tcBorders/>
            <w:shd w:fill="CCEEFF" w:val="clear"/>
            <w:vAlign w:val="center"/>
          </w:tcPr>
          <w:p>
            <w:pPr>
              <w:pStyle w:val="TableContents"/>
              <w:bidi w:val="0"/>
              <w:spacing w:before="0" w:after="1"/>
              <w:ind w:left="0" w:right="0" w:hanging="0"/>
              <w:jc w:val="left"/>
              <w:rPr/>
            </w:pPr>
            <w:r>
              <w:rPr/>
              <w:t> </w:t>
            </w:r>
          </w:p>
        </w:tc>
        <w:tc>
          <w:tcPr>
            <w:tcW w:w="2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Staged office space company</w:t>
            </w:r>
          </w:p>
        </w:tc>
        <w:tc>
          <w:tcPr>
            <w:tcW w:w="346" w:type="dxa"/>
            <w:tcBorders/>
            <w:shd w:fill="CCEEFF" w:val="clear"/>
            <w:vAlign w:val="center"/>
          </w:tcPr>
          <w:p>
            <w:pPr>
              <w:pStyle w:val="TableContents"/>
              <w:bidi w:val="0"/>
              <w:spacing w:before="0" w:after="1"/>
              <w:ind w:left="0" w:right="0" w:hanging="0"/>
              <w:jc w:val="left"/>
              <w:rPr/>
            </w:pPr>
            <w:r>
              <w:rPr/>
              <w:t> </w:t>
            </w:r>
          </w:p>
        </w:tc>
        <w:tc>
          <w:tcPr>
            <w:tcW w:w="3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method investee of the Group</w:t>
            </w:r>
          </w:p>
        </w:tc>
      </w:tr>
      <w:tr>
        <w:trPr/>
        <w:tc>
          <w:tcPr>
            <w:tcW w:w="355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Shanghai Lianquan Hotel Management Co., Ltd. (“Lianquan”)</w:t>
            </w:r>
          </w:p>
        </w:tc>
        <w:tc>
          <w:tcPr>
            <w:tcW w:w="346" w:type="dxa"/>
            <w:tcBorders/>
            <w:vAlign w:val="center"/>
          </w:tcPr>
          <w:p>
            <w:pPr>
              <w:pStyle w:val="TableContents"/>
              <w:bidi w:val="0"/>
              <w:spacing w:before="0" w:after="1"/>
              <w:ind w:left="0" w:right="0" w:hanging="0"/>
              <w:jc w:val="left"/>
              <w:rPr/>
            </w:pPr>
            <w:r>
              <w:rPr/>
              <w:t> </w:t>
            </w:r>
          </w:p>
        </w:tc>
        <w:tc>
          <w:tcPr>
            <w:tcW w:w="2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Hotel management company</w:t>
            </w:r>
          </w:p>
        </w:tc>
        <w:tc>
          <w:tcPr>
            <w:tcW w:w="346" w:type="dxa"/>
            <w:tcBorders/>
            <w:vAlign w:val="center"/>
          </w:tcPr>
          <w:p>
            <w:pPr>
              <w:pStyle w:val="TableContents"/>
              <w:bidi w:val="0"/>
              <w:spacing w:before="0" w:after="1"/>
              <w:ind w:left="0" w:right="0" w:hanging="0"/>
              <w:jc w:val="left"/>
              <w:rPr/>
            </w:pPr>
            <w:r>
              <w:rPr/>
              <w:t> </w:t>
            </w:r>
          </w:p>
        </w:tc>
        <w:tc>
          <w:tcPr>
            <w:tcW w:w="3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method investee of the Group</w:t>
            </w:r>
          </w:p>
        </w:tc>
      </w:tr>
      <w:tr>
        <w:trPr/>
        <w:tc>
          <w:tcPr>
            <w:tcW w:w="35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Huamai (Guangzhou) Hotel Management Co., Ltd. (“Huamai”)</w:t>
            </w:r>
          </w:p>
        </w:tc>
        <w:tc>
          <w:tcPr>
            <w:tcW w:w="346" w:type="dxa"/>
            <w:tcBorders/>
            <w:shd w:fill="CCEEFF" w:val="clear"/>
            <w:vAlign w:val="center"/>
          </w:tcPr>
          <w:p>
            <w:pPr>
              <w:pStyle w:val="TableContents"/>
              <w:bidi w:val="0"/>
              <w:spacing w:before="0" w:after="1"/>
              <w:ind w:left="0" w:right="0" w:hanging="0"/>
              <w:jc w:val="left"/>
              <w:rPr/>
            </w:pPr>
            <w:r>
              <w:rPr/>
              <w:t>​</w:t>
            </w:r>
          </w:p>
        </w:tc>
        <w:tc>
          <w:tcPr>
            <w:tcW w:w="2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Hotel management company</w:t>
            </w:r>
          </w:p>
        </w:tc>
        <w:tc>
          <w:tcPr>
            <w:tcW w:w="346" w:type="dxa"/>
            <w:tcBorders/>
            <w:shd w:fill="CCEEFF" w:val="clear"/>
            <w:vAlign w:val="center"/>
          </w:tcPr>
          <w:p>
            <w:pPr>
              <w:pStyle w:val="TableContents"/>
              <w:bidi w:val="0"/>
              <w:spacing w:before="0" w:after="1"/>
              <w:ind w:left="0" w:right="0" w:hanging="0"/>
              <w:jc w:val="left"/>
              <w:rPr/>
            </w:pPr>
            <w:r>
              <w:rPr/>
              <w:t>​</w:t>
            </w:r>
          </w:p>
        </w:tc>
        <w:tc>
          <w:tcPr>
            <w:tcW w:w="3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method investee of the Group</w:t>
            </w:r>
          </w:p>
        </w:tc>
      </w:tr>
      <w:tr>
        <w:trPr/>
        <w:tc>
          <w:tcPr>
            <w:tcW w:w="355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Azure Hospitality Fund I Limited Partnership (“Azure Fund”)</w:t>
            </w:r>
          </w:p>
        </w:tc>
        <w:tc>
          <w:tcPr>
            <w:tcW w:w="346" w:type="dxa"/>
            <w:tcBorders/>
            <w:vAlign w:val="center"/>
          </w:tcPr>
          <w:p>
            <w:pPr>
              <w:pStyle w:val="TableContents"/>
              <w:bidi w:val="0"/>
              <w:spacing w:before="0" w:after="1"/>
              <w:ind w:left="0" w:right="0" w:hanging="0"/>
              <w:jc w:val="left"/>
              <w:rPr/>
            </w:pPr>
            <w:r>
              <w:rPr/>
              <w:t>​</w:t>
            </w:r>
          </w:p>
        </w:tc>
        <w:tc>
          <w:tcPr>
            <w:tcW w:w="2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Fund</w:t>
            </w:r>
          </w:p>
        </w:tc>
        <w:tc>
          <w:tcPr>
            <w:tcW w:w="346" w:type="dxa"/>
            <w:tcBorders/>
            <w:vAlign w:val="center"/>
          </w:tcPr>
          <w:p>
            <w:pPr>
              <w:pStyle w:val="TableContents"/>
              <w:bidi w:val="0"/>
              <w:spacing w:before="0" w:after="1"/>
              <w:ind w:left="0" w:right="0" w:hanging="0"/>
              <w:jc w:val="left"/>
              <w:rPr/>
            </w:pPr>
            <w:r>
              <w:rPr/>
              <w:t>​</w:t>
            </w:r>
          </w:p>
        </w:tc>
        <w:tc>
          <w:tcPr>
            <w:tcW w:w="3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method investee of the Group</w:t>
            </w:r>
          </w:p>
        </w:tc>
      </w:tr>
      <w:tr>
        <w:trPr/>
        <w:tc>
          <w:tcPr>
            <w:tcW w:w="35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Huazhu Azure Capital Partners Inc. (“Azure Capital”)</w:t>
            </w:r>
          </w:p>
        </w:tc>
        <w:tc>
          <w:tcPr>
            <w:tcW w:w="346" w:type="dxa"/>
            <w:tcBorders/>
            <w:shd w:fill="CCEEFF" w:val="clear"/>
            <w:vAlign w:val="center"/>
          </w:tcPr>
          <w:p>
            <w:pPr>
              <w:pStyle w:val="TableContents"/>
              <w:bidi w:val="0"/>
              <w:spacing w:before="0" w:after="1"/>
              <w:ind w:left="0" w:right="0" w:hanging="0"/>
              <w:jc w:val="left"/>
              <w:rPr/>
            </w:pPr>
            <w:r>
              <w:rPr/>
              <w:t>​</w:t>
            </w:r>
          </w:p>
        </w:tc>
        <w:tc>
          <w:tcPr>
            <w:tcW w:w="2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company</w:t>
            </w:r>
          </w:p>
        </w:tc>
        <w:tc>
          <w:tcPr>
            <w:tcW w:w="346" w:type="dxa"/>
            <w:tcBorders/>
            <w:shd w:fill="CCEEFF" w:val="clear"/>
            <w:vAlign w:val="center"/>
          </w:tcPr>
          <w:p>
            <w:pPr>
              <w:pStyle w:val="TableContents"/>
              <w:bidi w:val="0"/>
              <w:spacing w:before="0" w:after="1"/>
              <w:ind w:left="0" w:right="0" w:hanging="0"/>
              <w:jc w:val="left"/>
              <w:rPr/>
            </w:pPr>
            <w:r>
              <w:rPr/>
              <w:t>​</w:t>
            </w:r>
          </w:p>
        </w:tc>
        <w:tc>
          <w:tcPr>
            <w:tcW w:w="3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method investee of the Group</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b/>
          <w:i/>
          <w:sz w:val="20"/>
        </w:rPr>
      </w:pPr>
      <w:bookmarkStart w:id="1151" w:name="Tc_DYxitxemVkqCVVf1tI9Nzw_9_0"/>
      <w:bookmarkStart w:id="1152" w:name="Tc_KM2lxWWmgEiBkaKRvMFhRg_8_0"/>
      <w:bookmarkStart w:id="1153" w:name="Tc_k-GMlQ_KsEOkrLZk7yZWkw_7_0"/>
      <w:bookmarkStart w:id="1154" w:name="Tc_-kqWXE4KY06dF7Zw6OdhrQ_6_0"/>
      <w:bookmarkStart w:id="1155" w:name="Tc_LFfd8ca5ckCctB8C01WCxQ_5_0"/>
      <w:bookmarkStart w:id="1156" w:name="Tc_FP6LW-DL80CIAT2uhdIF1Q_4_0"/>
      <w:bookmarkStart w:id="1157" w:name="Tc_QMlm8B8EvUS30_4UhgenqA_3_0"/>
      <w:bookmarkStart w:id="1158" w:name="Tc_LnNqilJCfEay66ih370iIA_2_4"/>
      <w:bookmarkStart w:id="1159" w:name="Tc_Q9STIKDFUkKUFBU5SK-9tQ_2_2"/>
      <w:bookmarkStart w:id="1160" w:name="Tc_niFUBNQA40yY8nQJU1-4hw_1_2"/>
      <w:bookmarkStart w:id="1161" w:name="Tc_6Y-AJqG1b0GcCThqhPsaeA_7_0"/>
      <w:bookmarkStart w:id="1162" w:name="Tc_d5Tx_JdGWECMI2WNcLTLzQ_6_0"/>
      <w:bookmarkStart w:id="1163" w:name="Tc_RdMCu3VPPEK96uSrQb9aiw_5_0"/>
      <w:bookmarkStart w:id="1164" w:name="Tc_3DWPr-_pwE-qbMmuG_putA_4_0"/>
      <w:bookmarkStart w:id="1165" w:name="Tc_9G3_wxKxrkemaZhqLmx2wQ_3_4"/>
      <w:bookmarkStart w:id="1166" w:name="Tc_ZIgK83Z4aUWGCVzYKqhvRg_3_2"/>
      <w:bookmarkStart w:id="1167" w:name="Tc_PQfpYb594k2W3V4KgHQk9w_2_4"/>
      <w:bookmarkStart w:id="1168" w:name="Tc_3ILaYyb7mUmYb1Sv4aZm5A_2_2"/>
      <w:bookmarkStart w:id="1169" w:name="Tc_Knhu2ls9z0G1QqPry5RX3Q_1_2"/>
      <w:bookmarkStart w:id="1170" w:name="Tc_UDcPH-mGnUuqYLTAAvxfVQ_10_0"/>
      <w:bookmarkStart w:id="1171" w:name="Tc_tXc3esA6FUieAGx8ewGF1Q_9_0"/>
      <w:bookmarkStart w:id="1172" w:name="Tc_voZ-7h962EKy8hK-geBPyA_8_0"/>
      <w:bookmarkStart w:id="1173" w:name="Tc_QYVI-iLGJ0u0lOE-60qdzw_7_0"/>
      <w:bookmarkStart w:id="1174" w:name="Tc_NuFhL0z54EyG1MNbSk6gkA_6_0"/>
      <w:bookmarkStart w:id="1175" w:name="Tc_f4BQr11nz0K4rGSv192HFw_5_0"/>
      <w:bookmarkStart w:id="1176" w:name="Tc_5hMxHCmXQkymfSWckNPczw_4_0"/>
      <w:bookmarkStart w:id="1177" w:name="Tc_ijREzeFbe0urnSZdMqH4xw_3_4"/>
      <w:bookmarkStart w:id="1178" w:name="Tc_MMFQOG89wEC23yJEldd6Tg_3_2"/>
      <w:bookmarkStart w:id="1179" w:name="Tc_G7ljDrMFskil69rpUl8Tyg_2_4"/>
      <w:bookmarkStart w:id="1180" w:name="Tc_H0s0iigz1UqR2KGZyV5BiA_2_2"/>
      <w:bookmarkStart w:id="1181" w:name="Tc_fXK-kt1bLkO_9Wyw4unRAw_1_2"/>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r>
        <w:rPr>
          <w:rFonts w:ascii="Times New Roman;Times;serif" w:hAnsi="Times New Roman;Times;serif"/>
          <w:b/>
          <w:i/>
          <w:sz w:val="20"/>
        </w:rPr>
        <w:t>(a) Related party balances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Amounts due from related parties consist of the following:</w:t>
      </w:r>
    </w:p>
    <w:p>
      <w:pPr>
        <w:pStyle w:val="TextBody"/>
        <w:bidi w:val="0"/>
        <w:spacing w:before="0" w:after="240"/>
        <w:ind w:left="0" w:right="0" w:firstLine="360"/>
        <w:jc w:val="left"/>
        <w:rPr/>
      </w:pPr>
      <w:r>
        <w:rPr/>
        <w:t>​</w:t>
      </w:r>
    </w:p>
    <w:tbl>
      <w:tblPr>
        <w:tblW w:w="5675" w:type="dxa"/>
        <w:jc w:val="left"/>
        <w:tblInd w:w="0" w:type="dxa"/>
        <w:tblLayout w:type="fixed"/>
        <w:tblCellMar>
          <w:top w:w="0" w:type="dxa"/>
          <w:left w:w="0" w:type="dxa"/>
          <w:bottom w:w="0" w:type="dxa"/>
          <w:right w:w="0" w:type="dxa"/>
        </w:tblCellMar>
      </w:tblPr>
      <w:tblGrid>
        <w:gridCol w:w="3076"/>
        <w:gridCol w:w="346"/>
        <w:gridCol w:w="1096"/>
        <w:gridCol w:w="346"/>
        <w:gridCol w:w="811"/>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953260" cy="175260"/>
                      <wp:effectExtent l="0" t="0" r="0" b="0"/>
                      <wp:wrapNone/>
                      <wp:docPr id="205" name="Frame205"/>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95960" cy="175260"/>
                      <wp:effectExtent l="0" t="0" r="0" b="0"/>
                      <wp:wrapNone/>
                      <wp:docPr id="207" name="Frame20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14985" cy="175260"/>
                      <wp:effectExtent l="0" t="0" r="0" b="0"/>
                      <wp:wrapNone/>
                      <wp:docPr id="209" name="Frame20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Trip.com</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Lianquan</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Huamai</w:t>
            </w:r>
          </w:p>
        </w:tc>
        <w:tc>
          <w:tcPr>
            <w:tcW w:w="34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Zhuchuang</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Cjia Group</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expected credit losses</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346" w:type="dxa"/>
            <w:tcBorders/>
            <w:vAlign w:val="center"/>
          </w:tcPr>
          <w:p>
            <w:pPr>
              <w:pStyle w:val="TableContents"/>
              <w:bidi w:val="0"/>
              <w:spacing w:before="0" w:after="1"/>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w:t>
            </w:r>
          </w:p>
        </w:tc>
        <w:tc>
          <w:tcPr>
            <w:tcW w:w="346" w:type="dxa"/>
            <w:tcBorders/>
            <w:vAlign w:val="center"/>
          </w:tcPr>
          <w:p>
            <w:pPr>
              <w:pStyle w:val="TableContents"/>
              <w:bidi w:val="0"/>
              <w:spacing w:before="0" w:after="1"/>
              <w:ind w:left="0" w:right="0" w:hanging="0"/>
              <w:jc w:val="left"/>
              <w:rPr/>
            </w:pPr>
            <w:r>
              <w:rPr/>
              <w:t> </w:t>
            </w:r>
          </w:p>
        </w:tc>
        <w:tc>
          <w:tcPr>
            <w:tcW w:w="81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139</w:t>
            </w:r>
          </w:p>
        </w:tc>
      </w:tr>
    </w:tbl>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Amounts due to related parties consist of the following:</w:t>
        <w:br/>
        <w:t>​</w:t>
      </w:r>
    </w:p>
    <w:p>
      <w:pPr>
        <w:pStyle w:val="TextBody"/>
        <w:bidi w:val="0"/>
        <w:spacing w:before="0" w:after="0"/>
        <w:ind w:left="0" w:right="0" w:hanging="0"/>
        <w:jc w:val="left"/>
        <w:rPr/>
      </w:pPr>
      <w:r>
        <w:rPr/>
        <w:t>​</w:t>
      </w:r>
    </w:p>
    <w:tbl>
      <w:tblPr>
        <w:tblW w:w="3620" w:type="dxa"/>
        <w:jc w:val="left"/>
        <w:tblInd w:w="0" w:type="dxa"/>
        <w:tblLayout w:type="fixed"/>
        <w:tblCellMar>
          <w:top w:w="0" w:type="dxa"/>
          <w:left w:w="0" w:type="dxa"/>
          <w:bottom w:w="0" w:type="dxa"/>
          <w:right w:w="0" w:type="dxa"/>
        </w:tblCellMar>
      </w:tblPr>
      <w:tblGrid>
        <w:gridCol w:w="1021"/>
        <w:gridCol w:w="346"/>
        <w:gridCol w:w="1096"/>
        <w:gridCol w:w="346"/>
        <w:gridCol w:w="811"/>
      </w:tblGrid>
      <w:tr>
        <w:trPr/>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335" cy="175260"/>
                      <wp:effectExtent l="0" t="0" r="0" b="0"/>
                      <wp:wrapNone/>
                      <wp:docPr id="210" name="Frame210"/>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5960" cy="175260"/>
                      <wp:effectExtent l="0" t="0" r="0" b="0"/>
                      <wp:wrapNone/>
                      <wp:docPr id="212" name="Frame21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14985" cy="175260"/>
                      <wp:effectExtent l="0" t="0" r="0" b="0"/>
                      <wp:wrapNone/>
                      <wp:docPr id="214" name="Frame214"/>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r>
      <w:tr>
        <w:trPr/>
        <w:tc>
          <w:tcPr>
            <w:tcW w:w="10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0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1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Trip.com</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1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Cjia Group</w:t>
            </w:r>
          </w:p>
        </w:tc>
        <w:tc>
          <w:tcPr>
            <w:tcW w:w="34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10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10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vAlign w:val="center"/>
          </w:tcPr>
          <w:p>
            <w:pPr>
              <w:pStyle w:val="TableContents"/>
              <w:bidi w:val="0"/>
              <w:spacing w:before="0" w:after="1"/>
              <w:ind w:left="0" w:right="0" w:hanging="0"/>
              <w:jc w:val="left"/>
              <w:rPr/>
            </w:pPr>
            <w:r>
              <w:rPr/>
              <w:t>​</w:t>
            </w:r>
          </w:p>
        </w:tc>
        <w:tc>
          <w:tcPr>
            <w:tcW w:w="81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96</w:t>
            </w:r>
          </w:p>
        </w:tc>
      </w:tr>
    </w:tbl>
    <w:p>
      <w:pPr>
        <w:pStyle w:val="TextBody"/>
        <w:bidi w:val="0"/>
        <w:spacing w:before="0" w:after="240"/>
        <w:ind w:left="0" w:right="0" w:hanging="0"/>
        <w:jc w:val="left"/>
        <w:rPr/>
      </w:pPr>
      <w:r>
        <w:rPr/>
        <w:t>​</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(b) Related party transactions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six months ended June 30, 2025 and June 30, 2026, significant related party transactions were as follows:</w:t>
      </w:r>
    </w:p>
    <w:p>
      <w:pPr>
        <w:pStyle w:val="TextBody"/>
        <w:bidi w:val="0"/>
        <w:spacing w:before="0" w:after="240"/>
        <w:ind w:left="0" w:right="0" w:hanging="0"/>
        <w:jc w:val="both"/>
        <w:rPr/>
      </w:pPr>
      <w:r>
        <w:rPr/>
        <w:t>​</w:t>
      </w:r>
    </w:p>
    <w:tbl>
      <w:tblPr>
        <w:tblW w:w="6437" w:type="dxa"/>
        <w:jc w:val="left"/>
        <w:tblInd w:w="0" w:type="dxa"/>
        <w:tblLayout w:type="fixed"/>
        <w:tblCellMar>
          <w:top w:w="0" w:type="dxa"/>
          <w:left w:w="0" w:type="dxa"/>
          <w:bottom w:w="0" w:type="dxa"/>
          <w:right w:w="0" w:type="dxa"/>
        </w:tblCellMar>
      </w:tblPr>
      <w:tblGrid>
        <w:gridCol w:w="3931"/>
        <w:gridCol w:w="346"/>
        <w:gridCol w:w="761"/>
        <w:gridCol w:w="565"/>
        <w:gridCol w:w="834"/>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496185" cy="175260"/>
                      <wp:effectExtent l="0" t="0" r="0" b="0"/>
                      <wp:wrapNone/>
                      <wp:docPr id="215" name="Frame215"/>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83235" cy="175260"/>
                      <wp:effectExtent l="0" t="0" r="0" b="0"/>
                      <wp:wrapNone/>
                      <wp:docPr id="217" name="Frame217"/>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58775" cy="175260"/>
                      <wp:effectExtent l="0" t="0" r="0" b="0"/>
                      <wp:wrapNone/>
                      <wp:docPr id="218" name="Frame218"/>
                      <a:graphic xmlns:a="http://schemas.openxmlformats.org/drawingml/2006/main">
                        <a:graphicData uri="http://schemas.microsoft.com/office/word/2010/wordprocessingShape">
                          <wps:wsp>
                            <wps:cNvSpPr txBox="1"/>
                            <wps:spPr>
                              <a:xfrm>
                                <a:off x="0" y="0"/>
                                <a:ext cx="358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29590" cy="175260"/>
                      <wp:effectExtent l="0" t="0" r="0" b="0"/>
                      <wp:wrapNone/>
                      <wp:docPr id="219" name="Frame219"/>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6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65" w:type="dxa"/>
            <w:tcBorders/>
            <w:vAlign w:val="center"/>
          </w:tcPr>
          <w:p>
            <w:pPr>
              <w:pStyle w:val="TableContents"/>
              <w:bidi w:val="0"/>
              <w:spacing w:before="0" w:after="1"/>
              <w:ind w:left="0" w:right="0" w:hanging="0"/>
              <w:jc w:val="left"/>
              <w:rPr/>
            </w:pPr>
            <w:r>
              <w:rPr/>
              <w:t>  ​ ​ ​</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Commission expenses to Trip.com</w:t>
            </w:r>
          </w:p>
        </w:tc>
        <w:tc>
          <w:tcPr>
            <w:tcW w:w="346"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565"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expenses to Trip.com</w:t>
            </w:r>
          </w:p>
        </w:tc>
        <w:tc>
          <w:tcPr>
            <w:tcW w:w="346"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565"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expenses to Cjia Group</w:t>
            </w:r>
          </w:p>
        </w:tc>
        <w:tc>
          <w:tcPr>
            <w:tcW w:w="346"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565"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Goods sold and service provided to Cjia Group</w:t>
            </w:r>
          </w:p>
        </w:tc>
        <w:tc>
          <w:tcPr>
            <w:tcW w:w="346"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565"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 fee from Trip.com</w:t>
            </w:r>
          </w:p>
        </w:tc>
        <w:tc>
          <w:tcPr>
            <w:tcW w:w="346"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565"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 fee from Azure Fund</w:t>
            </w:r>
          </w:p>
        </w:tc>
        <w:tc>
          <w:tcPr>
            <w:tcW w:w="346"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565"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Sublease income from Cjia Group</w:t>
            </w:r>
          </w:p>
        </w:tc>
        <w:tc>
          <w:tcPr>
            <w:tcW w:w="346"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565"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w:t>
            </w:r>
          </w:p>
        </w:tc>
      </w:tr>
    </w:tbl>
    <w:p>
      <w:pPr>
        <w:pStyle w:val="TextBody"/>
        <w:bidi w:val="0"/>
        <w:spacing w:before="0" w:after="240"/>
        <w:ind w:left="360" w:right="0" w:firstLine="360"/>
        <w:jc w:val="left"/>
        <w:rPr/>
      </w:pPr>
      <w:r>
        <w:rPr/>
        <w:t>​</w:t>
      </w:r>
    </w:p>
    <w:p>
      <w:pPr>
        <w:pStyle w:val="TextBody"/>
        <w:bidi w:val="0"/>
        <w:spacing w:before="0" w:after="240"/>
        <w:ind w:left="360" w:right="0" w:firstLine="36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2026, a subsidiary of Azure Capital, acting as the originator (the “Originator”), initiated the public offering of a real estate investment trust (the “REIT”). The Group, together with another equity shareholder of Azure Capital, undertook that if it is substantiated that the Originator or Azure Capital has committed any material violation of laws or regulations in the documents and materials submitted in connection with the REIT issuance application, including concealing material facts or fabricating materially false information, the Group and that equity shareholder shall require the Originator or Azure Capital to repurchase, at its own expense, all units of the REIT or the equity interests in the underlying real estate projects. If the Originator or Azure Capital is unable to fully perform the repurchase undertaking due to insufficient financial resources, the Group and that equity shareholder shall provide funding support to enable it to fulfill the repurchase undertaking. By the end of August 2026, the REIT’s offering remained ongoing, with a total offering size of approximately RMB1,239.</w:t>
      </w:r>
    </w:p>
    <w:p>
      <w:pPr>
        <w:pStyle w:val="TextBody"/>
        <w:bidi w:val="0"/>
        <w:spacing w:before="0" w:after="240"/>
        <w:ind w:left="360" w:right="0" w:firstLine="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202" w:type="dxa"/>
        <w:jc w:val="left"/>
        <w:tblInd w:w="0" w:type="dxa"/>
        <w:tblLayout w:type="fixed"/>
        <w:tblCellMar>
          <w:top w:w="0" w:type="dxa"/>
          <w:left w:w="0" w:type="dxa"/>
          <w:bottom w:w="0" w:type="dxa"/>
          <w:right w:w="0" w:type="dxa"/>
        </w:tblCellMar>
      </w:tblPr>
      <w:tblGrid>
        <w:gridCol w:w="376"/>
        <w:gridCol w:w="382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18.</w:t>
            </w:r>
          </w:p>
        </w:tc>
        <w:tc>
          <w:tcPr>
            <w:tcW w:w="38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(a) Commitments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June 30, 2026, the Group’s commitments related to leasehold improvements and installation of equipment for hotel operations was RMB238, which is expected to be incurred within </w:t>
      </w:r>
      <w:r>
        <w:rPr>
          <w:rFonts w:ascii="Times New Roman;Times;serif" w:hAnsi="Times New Roman;Times;serif"/>
          <w:b w:val="false"/>
          <w:i w:val="false"/>
          <w:caps w:val="false"/>
          <w:smallCaps w:val="false"/>
          <w:sz w:val="20"/>
        </w:rPr>
        <w:t>one</w:t>
      </w:r>
      <w:r>
        <w:rPr>
          <w:rFonts w:ascii="Times New Roman;Times;serif" w:hAnsi="Times New Roman;Times;serif"/>
          <w:sz w:val="20"/>
        </w:rPr>
        <w:t> to two years.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(b) Contingencies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Group is subject to periodic legal or administrative proceedings in the ordinary course of the Group’s business, including lease contract terminations and disputes, and management agreement disputes. The Group does not believe that any currently pending legal or administrative proceeding to which the Group is a party will have a material adverse effect on the financial statements. As of June 30, 2026, the accrued contingent liability was RMB5.</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19.</w:t>
      </w:r>
      <w:r>
        <w:rPr>
          <w:rFonts w:ascii="Times New Roman;Times;serif" w:hAnsi="Times New Roman;Times;serif"/>
          <w:b/>
          <w:sz w:val="20"/>
        </w:rPr>
        <w:t>SUBSEQUENT EVENTS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September 2026, the Group completed the offering of RMB3,350 aggregate principal amount of RMB-denominated senior unsecured bonds (the “Bonds”). The Bonds were offered in offshore transactions outside the United States to non-U.S. persons (the “Bond Offering”) in reliance on Regulation S under the United States Securities Act of 1933, as amended. The Bond Offering consists of RMB3,350 of 2.25% bonds due 2031.</w:t>
      </w:r>
    </w:p>
    <w:p>
      <w:pPr>
        <w:pStyle w:val="TextBody"/>
        <w:bidi w:val="0"/>
        <w:spacing w:before="0" w:after="0"/>
        <w:ind w:left="0" w:right="0" w:hanging="0"/>
        <w:jc w:val="left"/>
        <w:rPr/>
      </w:pPr>
      <w:r>
        <w:rPr/>
        <w:t>​</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10576</Words>
  <Characters>57976</Characters>
  <CharactersWithSpaces>69683</CharactersWithSpaces>
  <Paragraphs>4224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