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6565-1_4seq1.xml.htm"/>
      <w:bookmarkStart w:id="1" w:name="kstm2626565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Jin Hui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1299 FENGHUA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 World Group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HTHT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9"/>
        <w:gridCol w:w="902"/>
        <w:gridCol w:w="773"/>
        <w:gridCol w:w="599"/>
        <w:gridCol w:w="344"/>
        <w:gridCol w:w="1007"/>
        <w:gridCol w:w="442"/>
        <w:gridCol w:w="748"/>
        <w:gridCol w:w="1263"/>
        <w:gridCol w:w="982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107,660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7,129,310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26,890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43.29</w:t>
            </w:r>
          </w:p>
        </w:tc>
        <w:tc>
          <w:tcPr>
            <w:tcW w:w="12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7,102,420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6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107,660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107,660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107,680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restricted share units that vested and settled into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share unit represents the right to receive one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restricted share units were granted on March 26, 2015 and vested on September 26, 2026. These Restricted share units were previously reported on the Form 3 filed by the Reporting Person on March 17,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Fan You, Attorney-in-Fact for Hui Jin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2454" TargetMode="External"/><Relationship Id="rId5" Type="http://schemas.openxmlformats.org/officeDocument/2006/relationships/hyperlink" Target="http://www.sec.gov/cgi-bin/browse-edgar?action=getcompany&amp;CIK=00014839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653</Words>
  <Characters>3520</Characters>
  <CharactersWithSpaces>4084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