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left="1060" w:right="18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9"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For the month of November 2020</w:t>
      </w:r>
    </w:p>
    <w:p>
      <w:pPr>
        <w:spacing w:after="0" w:line="22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Commission File Number: 001-34656</w:t>
      </w:r>
    </w:p>
    <w:p>
      <w:pPr>
        <w:spacing w:after="0" w:line="200"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Huazhu Group Limited</w:t>
      </w:r>
    </w:p>
    <w:p>
      <w:pPr>
        <w:spacing w:after="0" w:line="4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No. 699 Wuzhong Road</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Minhang District</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Shanghai 201103</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(86) 21 6195-2011</w:t>
      </w:r>
    </w:p>
    <w:p>
      <w:pPr>
        <w:spacing w:after="0" w:line="9"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x Form 40-F</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 (1):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20"/>
          </w:cols>
          <w:pgMar w:left="320" w:top="754" w:right="10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00" w:type="dxa"/>
            <w:vAlign w:val="bottom"/>
          </w:tcPr>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0"/>
                <w:szCs w:val="20"/>
                <w:color w:val="auto"/>
              </w:rPr>
            </w:pPr>
          </w:p>
        </w:tc>
      </w:tr>
      <w:tr>
        <w:trPr>
          <w:trHeight w:val="364"/>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20" w:type="dxa"/>
            <w:vAlign w:val="bottom"/>
          </w:tcPr>
          <w:p>
            <w:pPr>
              <w:spacing w:after="0"/>
              <w:rPr>
                <w:sz w:val="24"/>
                <w:szCs w:val="24"/>
                <w:color w:val="auto"/>
              </w:rPr>
            </w:pPr>
          </w:p>
        </w:tc>
        <w:tc>
          <w:tcPr>
            <w:tcW w:w="9300" w:type="dxa"/>
            <w:vAlign w:val="bottom"/>
            <w:tcBorders>
              <w:bottom w:val="single" w:sz="8" w:color="auto"/>
            </w:tcBorders>
          </w:tcPr>
          <w:p>
            <w:pPr>
              <w:ind w:left="4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22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99.1</w:t>
            </w:r>
          </w:p>
        </w:tc>
        <w:tc>
          <w:tcPr>
            <w:tcW w:w="3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 Record Date for Annual General Meeting of Shareholders</w:t>
            </w:r>
          </w:p>
        </w:tc>
        <w:tc>
          <w:tcPr>
            <w:tcW w:w="40" w:type="dxa"/>
            <w:vAlign w:val="bottom"/>
          </w:tcPr>
          <w:p>
            <w:pPr>
              <w:spacing w:after="0"/>
              <w:rPr>
                <w:sz w:val="19"/>
                <w:szCs w:val="19"/>
                <w:color w:val="auto"/>
              </w:rPr>
            </w:pPr>
          </w:p>
        </w:tc>
      </w:tr>
      <w:tr>
        <w:trPr>
          <w:trHeight w:val="414"/>
        </w:trPr>
        <w:tc>
          <w:tcPr>
            <w:tcW w:w="1620" w:type="dxa"/>
            <w:vAlign w:val="bottom"/>
          </w:tcPr>
          <w:p>
            <w:pPr>
              <w:spacing w:after="0"/>
              <w:rPr>
                <w:sz w:val="24"/>
                <w:szCs w:val="24"/>
                <w:color w:val="auto"/>
              </w:rPr>
            </w:pPr>
          </w:p>
        </w:tc>
        <w:tc>
          <w:tcPr>
            <w:tcW w:w="9620" w:type="dxa"/>
            <w:vAlign w:val="bottom"/>
            <w:gridSpan w:val="2"/>
          </w:tcPr>
          <w:p>
            <w:pPr>
              <w:jc w:val="right"/>
              <w:ind w:right="5496"/>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8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Huazhu Group Limited</w:t>
            </w:r>
          </w:p>
        </w:tc>
        <w:tc>
          <w:tcPr>
            <w:tcW w:w="40" w:type="dxa"/>
            <w:vAlign w:val="bottom"/>
          </w:tcPr>
          <w:p>
            <w:pPr>
              <w:spacing w:after="0"/>
              <w:rPr>
                <w:sz w:val="19"/>
                <w:szCs w:val="19"/>
                <w:color w:val="auto"/>
              </w:rPr>
            </w:pPr>
          </w:p>
        </w:tc>
      </w:tr>
      <w:tr>
        <w:trPr>
          <w:trHeight w:val="234"/>
        </w:trPr>
        <w:tc>
          <w:tcPr>
            <w:tcW w:w="36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(Registrant)</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2020</w:t>
            </w: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Qi Ji</w:t>
            </w:r>
          </w:p>
        </w:tc>
        <w:tc>
          <w:tcPr>
            <w:tcW w:w="40" w:type="dxa"/>
            <w:vAlign w:val="bottom"/>
          </w:tcPr>
          <w:p>
            <w:pPr>
              <w:spacing w:after="0"/>
              <w:rPr>
                <w:sz w:val="24"/>
                <w:szCs w:val="24"/>
                <w:color w:val="auto"/>
              </w:rPr>
            </w:pPr>
          </w:p>
        </w:tc>
      </w:tr>
      <w:tr>
        <w:trPr>
          <w:trHeight w:val="191"/>
        </w:trPr>
        <w:tc>
          <w:tcPr>
            <w:tcW w:w="3680" w:type="dxa"/>
            <w:vAlign w:val="bottom"/>
          </w:tcPr>
          <w:p>
            <w:pPr>
              <w:spacing w:after="0"/>
              <w:rPr>
                <w:sz w:val="16"/>
                <w:szCs w:val="16"/>
                <w:color w:val="auto"/>
              </w:rPr>
            </w:pPr>
          </w:p>
        </w:tc>
        <w:tc>
          <w:tcPr>
            <w:tcW w:w="268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Qi Ji</w:t>
            </w:r>
          </w:p>
        </w:tc>
        <w:tc>
          <w:tcPr>
            <w:tcW w:w="4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 Chief Executive</w:t>
            </w:r>
          </w:p>
        </w:tc>
        <w:tc>
          <w:tcPr>
            <w:tcW w:w="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6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123190</wp:posOffset>
            </wp:positionV>
            <wp:extent cx="171450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Huazhu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19685</wp:posOffset>
            </wp:positionV>
            <wp:extent cx="902970" cy="140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2970" cy="140970"/>
                    </a:xfrm>
                    <a:prstGeom prst="rect">
                      <a:avLst/>
                    </a:prstGeom>
                    <a:noFill/>
                  </pic:spPr>
                </pic:pic>
              </a:graphicData>
            </a:graphic>
          </wp:anchor>
        </w:drawing>
      </w:r>
    </w:p>
    <w:p>
      <w:pPr>
        <w:spacing w:after="0" w:line="14" w:lineRule="exact"/>
        <w:rPr>
          <w:sz w:val="20"/>
          <w:szCs w:val="20"/>
          <w:color w:val="auto"/>
        </w:rPr>
      </w:pPr>
    </w:p>
    <w:p>
      <w:pPr>
        <w:ind w:left="4920"/>
        <w:spacing w:after="0" w:line="216" w:lineRule="exact"/>
        <w:rPr>
          <w:sz w:val="20"/>
          <w:szCs w:val="20"/>
          <w:color w:val="auto"/>
        </w:rPr>
      </w:pPr>
      <w:r>
        <w:rPr>
          <w:rFonts w:ascii="PMingLiU" w:cs="PMingLiU" w:eastAsia="PMingLiU" w:hAnsi="PMingLiU"/>
          <w:sz w:val="18"/>
          <w:szCs w:val="18"/>
          <w:color w:val="auto"/>
        </w:rPr>
        <w:t>華住集團有限公司</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1179)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20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Huazhu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announces that the record date for the purpose of determining the eligibility of the holders of the ordinary shares of the Company, par value US$0.0001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attend and vote at the forthcoming annual general meeting of the Company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will be on Wednesday, November 18, 2020, Hong Kong time (the “</w:t>
      </w:r>
      <w:r>
        <w:rPr>
          <w:rFonts w:ascii="Times New Roman" w:cs="Times New Roman" w:eastAsia="Times New Roman" w:hAnsi="Times New Roman"/>
          <w:sz w:val="18"/>
          <w:szCs w:val="18"/>
          <w:b w:val="1"/>
          <w:bCs w:val="1"/>
          <w:color w:val="auto"/>
        </w:rPr>
        <w:t>Ordinary Shares Record Date</w:t>
      </w:r>
      <w:r>
        <w:rPr>
          <w:rFonts w:ascii="Times New Roman" w:cs="Times New Roman" w:eastAsia="Times New Roman" w:hAnsi="Times New Roman"/>
          <w:sz w:val="18"/>
          <w:szCs w:val="18"/>
          <w:color w:val="auto"/>
        </w:rPr>
        <w:t>”). In order to be eligible to attend and vote at the General Meeting, all valid documents for the transfers of shares accompanied by the relevant share certificates must be lodged with the Company’s Hong Kong branch share registrar and transfer office, Computershare Hong Kong Investor Services Limited, Shops 1712-1716,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Hopewell Centre, 183 Queen’s Road East, Hong Kong, not later than 4:30 p.m. on Wednesday, November 18, 2020 Hong Kong time. All persons who are registered holders of the Ordinary Shares on the Ordinary Shares Record Date will be entitled to attend and vote at the General Meeting.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by Citibank, N.A., as depositary of the ADSs, and representing the Ordinary Shares are not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attend or vote at the General Meeting in person under the amended and restated articles of association of the Company. Holders of ADSs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 of business on Wednesday, November 18, 2020, New York time (the “</w:t>
      </w:r>
      <w:r>
        <w:rPr>
          <w:rFonts w:ascii="Times New Roman" w:cs="Times New Roman" w:eastAsia="Times New Roman" w:hAnsi="Times New Roman"/>
          <w:sz w:val="18"/>
          <w:szCs w:val="18"/>
          <w:b w:val="1"/>
          <w:bCs w:val="1"/>
          <w:color w:val="auto"/>
        </w:rPr>
        <w:t>ADSs Record Date</w:t>
      </w:r>
      <w:r>
        <w:rPr>
          <w:rFonts w:ascii="Times New Roman" w:cs="Times New Roman" w:eastAsia="Times New Roman" w:hAnsi="Times New Roman"/>
          <w:sz w:val="18"/>
          <w:szCs w:val="18"/>
          <w:color w:val="auto"/>
        </w:rPr>
        <w:t>”, together with the Ordinary Shares Record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will be able to instruct Citibank, N.A., the holder of record of Ordinary Shares (through a nominee) represented by ADSs, as to how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the Ordinary Shares represented by such ADSs. Citibank, N.A., as depositary of the ADSs, will endeavor, to the extent practicable and legally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permissible, to vote or cause to be voted at the General Meeting the Ordinary Shares it holds in respect of the ADSs in accordance with the instructions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it has properly received from ADS holders who hold ADSs as of the ADS Record Date. Please be aware that, because of the time difference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and New York, if a holder of ADSs cancels his or her ADSs in exchange for Ordinary Shares on November 18, 2020, New York time,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ADSs will not be able to instruct Citibank, N. A., as depositary of the ADSs, as to how to vote the Ordinary Shares represented by the canceled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as described above, and will also not be a holder of those Ordinary Shares as of the Ordinary Shares Record Date for the purpose of determining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eligibility to attend and vote at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300"/>
        <w:spacing w:after="0" w:line="282" w:lineRule="auto"/>
        <w:rPr>
          <w:sz w:val="20"/>
          <w:szCs w:val="20"/>
          <w:color w:val="auto"/>
        </w:rPr>
      </w:pPr>
      <w:r>
        <w:rPr>
          <w:rFonts w:ascii="Times New Roman" w:cs="Times New Roman" w:eastAsia="Times New Roman" w:hAnsi="Times New Roman"/>
          <w:sz w:val="18"/>
          <w:szCs w:val="18"/>
          <w:color w:val="auto"/>
        </w:rPr>
        <w:t>Details including the date and location of the General Meeting will be set out in the Company’s notice of General Meeting to be issued and provided to holders of the Ordinary Shares and ADSs as of the respective Record Date together with the proxy materials in due course.</w:t>
      </w:r>
    </w:p>
    <w:p>
      <w:pPr>
        <w:spacing w:after="0" w:line="162"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Huazhu Group Limited</w:t>
      </w:r>
    </w:p>
    <w:p>
      <w:pPr>
        <w:spacing w:after="0" w:line="9"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JI Qi</w:t>
      </w:r>
    </w:p>
    <w:p>
      <w:pPr>
        <w:spacing w:after="0" w:line="9"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November 4, 2020</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JI Qi, the Executive Chairman, Ms. ZHANG Min, Mr. Sébastien, Marie, Christophe BAZIN and Mr. ZHANG Shangzhi as directors; Mr. John WU Jiong, Ms. ZHAO Tong Tong, Mr. SHANG Jian, Mr. HEE Theng Fong and Ms. CAO Lei as independent directors; and Mr. Gaurav BHUSHAN as alternate director to Mr. Sébastien, Marie, Christophe BAZIN.</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80"/>
      </w:cols>
      <w:pgMar w:left="320" w:top="33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2020-11-04T05:13:52Z</dcterms:created>
  <dcterms:modified xsi:type="dcterms:W3CDTF">2020-11-04T05:13:52Z</dcterms:modified>
</cp:coreProperties>
</file>