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85d1_6k.htm"/>
      <w:bookmarkStart w:id="1" w:name="kstm262228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(86) 21 6195-2011</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60"/>
        <w:gridCol w:w="9090"/>
      </w:tblGrid>
      <w:tr>
        <w:trPr/>
        <w:tc>
          <w:tcPr>
            <w:tcW w:w="105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9090"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22285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pPr>
            <w:hyperlink w:anchor="tm2622285d1_ex99-1.htm">
              <w:r>
                <w:rPr>
                  <w:rStyle w:val="InternetLink"/>
                  <w:rFonts w:ascii="Times New Roman;Times;Serif" w:hAnsi="Times New Roman;Times;Serif"/>
                  <w:sz w:val="20"/>
                </w:rPr>
                <w:t>Announcement — Date of Audit Committee Meeting and 2026 Second Quarter and Interim Financial Results Announcement Date and Date of Board Resolution in Relation to Cash Dividend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075"/>
        <w:gridCol w:w="650"/>
        <w:gridCol w:w="4400"/>
      </w:tblGrid>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 World Group Limited</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(Registrant)</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5, 2026</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Qi Ji</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Ji</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 w:name="tm2622285d1_ex99-1.htm"/>
      <w:bookmarkStart w:id="3" w:name="kstm2622285d1_ex991"/>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8859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8667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華住集團有限公司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(Formerly known as Huazhu Group Limited)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1179)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AUDIT COMMITTEE MEETING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SECOND QUARTER AND INTERIM FINANCIAL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 DATE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RESOLUTION IN RELATION TO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announces that a meeting of the audit committee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will be held on Monday, August 17, 2026 (Hong Kong time) for the purpose of, among other things, considering and approving the Company’s unaudited financial results for the three months and six months ended June 30, 2026 (the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and the publication of the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Results will be uploaded to the website of The Stock Exchange of Hong Kong Limited at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 xml:space="preserve"> and the Company’s website at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sz w:val="20"/>
        </w:rPr>
        <w:t xml:space="preserve"> on Monday, August 17, 2026 (Hong Kong time), after the trading hours of The Stock Exchange of Hong Kong Limited and before the opening of the U.S.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management will host a conference call at 7 p.m. (Hong Kong time) on Monday, August 17, 2026 (or 7 a.m. (U.S. Eastern time) on Monday, August 17, 2026) following the announcement of the Results. To join by phone, all participants must pre-register this conference call using the Participant Registration link of </w:t>
      </w:r>
      <w:r>
        <w:rPr>
          <w:rFonts w:ascii="Times New Roman;Times;Serif" w:hAnsi="Times New Roman;Times;Serif"/>
          <w:b w:val="false"/>
          <w:i w:val="false"/>
          <w:caps w:val="false"/>
          <w:smallCaps w:val="false"/>
          <w:sz w:val="20"/>
          <w:u w:val="single"/>
        </w:rPr>
        <w:t>https://register-conf.media-server.com/register/BI5e31bbbd257d4448ba4120bb310afe2b</w:t>
      </w:r>
      <w:r>
        <w:rPr>
          <w:rFonts w:ascii="Times New Roman;Times;Serif" w:hAnsi="Times New Roman;Times;Serif"/>
          <w:b w:val="false"/>
          <w:i w:val="false"/>
          <w:caps w:val="false"/>
          <w:smallCaps w:val="false"/>
          <w:sz w:val="20"/>
        </w:rPr>
        <w:t xml:space="preserve">. Upon registration, each participant will receive details for the conference call, including dial-in numbers, conference call passcode and a unique access PIN. A live webcast of the call can be accessed at </w:t>
      </w:r>
      <w:r>
        <w:rPr>
          <w:rFonts w:ascii="Times New Roman;Times;Serif" w:hAnsi="Times New Roman;Times;Serif"/>
          <w:b w:val="false"/>
          <w:i w:val="false"/>
          <w:caps w:val="false"/>
          <w:smallCaps w:val="false"/>
          <w:sz w:val="20"/>
          <w:u w:val="single"/>
        </w:rPr>
        <w:t>https://edge.media-server.com/mmc/p/3gwfteju</w:t>
      </w:r>
      <w:r>
        <w:rPr>
          <w:rFonts w:ascii="Times New Roman;Times;Serif" w:hAnsi="Times New Roman;Times;Serif"/>
          <w:b w:val="false"/>
          <w:i w:val="false"/>
          <w:caps w:val="false"/>
          <w:smallCaps w:val="false"/>
          <w:sz w:val="20"/>
        </w:rPr>
        <w:t xml:space="preserve"> or the Company’s website at </w:t>
      </w:r>
      <w:r>
        <w:rPr>
          <w:rFonts w:ascii="Times New Roman;Times;Serif" w:hAnsi="Times New Roman;Times;Serif"/>
          <w:b w:val="false"/>
          <w:i w:val="false"/>
          <w:caps w:val="false"/>
          <w:smallCaps w:val="false"/>
          <w:sz w:val="20"/>
          <w:u w:val="single"/>
        </w:rPr>
        <w:t>https://ir.hworld.com/ news-and-events/events-calendar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replay of the conference call will be available for twelve months from the date of the conference at the Company’s website, </w:t>
      </w:r>
      <w:r>
        <w:rPr>
          <w:rFonts w:ascii="Times New Roman;Times;Serif" w:hAnsi="Times New Roman;Times;Serif"/>
          <w:b w:val="false"/>
          <w:i w:val="false"/>
          <w:caps w:val="false"/>
          <w:smallCaps w:val="false"/>
          <w:sz w:val="20"/>
          <w:u w:val="single"/>
        </w:rPr>
        <w:t>https://ir.hworld.com/news-and-events/events-calendar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announces that the Board is considering the declaration and payment of a dividend in cash. If the Board decides to proceed, the declaration of dividend will be adopted by Board resolution on or around Monday, August 17, 2026 (Hong Kong time).</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75"/>
        <w:gridCol w:w="2105"/>
      </w:tblGrid>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 Qi</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JI Qi, the Executive Chairman, and Mr. Justin Martin LEVERENZ, as directors; Mr. John WU Jiong, Mr. HEE Theng Fong, Ms. CAO Lei, Ms. ZHANG Yi (alias Bonnie Yi ZHANG) and Mr. SUN Yanjun as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3503</Characters>
  <CharactersWithSpaces>4151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