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542d1_6k.htm"/>
      <w:bookmarkStart w:id="1" w:name="kstm262554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001-34656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 World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1299 Fenghua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Shanghai</w:t>
        <w:br/>
        <w:t>People’s Republic of China</w:t>
        <w:br/>
        <w:t>(86) 21 6195-2011</w:t>
        <w:br/>
      </w: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49"/>
        <w:gridCol w:w="60"/>
        <w:gridCol w:w="9096"/>
      </w:tblGrid>
      <w:tr>
        <w:trPr/>
        <w:tc>
          <w:tcPr>
            <w:tcW w:w="1049"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Number</w:t>
            </w:r>
            <w:r>
              <w:rPr>
                <w:rFonts w:ascii="Times New Roman;Times;Serif" w:hAnsi="Times New Roman;Times;Serif"/>
                <w:b w:val="false"/>
                <w:i w:val="false"/>
                <w:caps w:val="false"/>
                <w:smallCaps w:val="false"/>
                <w:sz w:val="20"/>
              </w:rPr>
              <w:t> </w:t>
            </w:r>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pBdr>
                <w:bottom w:val="single" w:sz="2"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Description of Document</w:t>
            </w:r>
            <w:r>
              <w:rPr>
                <w:rFonts w:ascii="Times New Roman;Times;Serif" w:hAnsi="Times New Roman;Times;Serif"/>
                <w:b w:val="false"/>
                <w:i w:val="false"/>
                <w:caps w:val="false"/>
                <w:smallCaps w:val="false"/>
                <w:sz w:val="20"/>
              </w:rPr>
              <w:t> </w:t>
            </w:r>
          </w:p>
        </w:tc>
      </w:tr>
      <w:tr>
        <w:trPr/>
        <w:tc>
          <w:tcPr>
            <w:tcW w:w="1049" w:type="dxa"/>
            <w:tcBorders/>
            <w:vAlign w:val="center"/>
          </w:tcPr>
          <w:p>
            <w:pPr>
              <w:pStyle w:val="TableContents"/>
              <w:bidi w:val="0"/>
              <w:spacing w:before="0" w:after="283"/>
              <w:jc w:val="left"/>
              <w:rPr/>
            </w:pPr>
            <w:hyperlink w:anchor="tm2625542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hyperlink w:anchor="tm2625542d1_ex99-1.htm">
              <w:r>
                <w:rPr>
                  <w:rStyle w:val="InternetLink"/>
                  <w:rFonts w:ascii="Times New Roman;Times;Serif" w:hAnsi="Times New Roman;Times;Serif"/>
                  <w:sz w:val="20"/>
                </w:rPr>
                <w:t>H World Group Limited Announces Completion of CNY3.35 Billion Offering of CNY-denominated Senior Bonds</w:t>
              </w:r>
            </w:hyperlink>
          </w:p>
        </w:tc>
      </w:tr>
      <w:tr>
        <w:trPr/>
        <w:tc>
          <w:tcPr>
            <w:tcW w:w="1049" w:type="dxa"/>
            <w:tcBorders/>
            <w:vAlign w:val="center"/>
          </w:tcPr>
          <w:p>
            <w:pPr>
              <w:pStyle w:val="TableContents"/>
              <w:bidi w:val="0"/>
              <w:spacing w:before="0" w:after="283"/>
              <w:jc w:val="left"/>
              <w:rPr/>
            </w:pPr>
            <w:hyperlink w:anchor="tm2625542d1_ex99-2.htm">
              <w:r>
                <w:rPr>
                  <w:rStyle w:val="InternetLink"/>
                  <w:rFonts w:ascii="Times New Roman;Times;Serif" w:hAnsi="Times New Roman;Times;Serif"/>
                  <w:sz w:val="20"/>
                </w:rPr>
                <w:t>Exhibit 99.2</w:t>
              </w:r>
            </w:hyperlink>
          </w:p>
        </w:tc>
        <w:tc>
          <w:tcPr>
            <w:tcW w:w="60" w:type="dxa"/>
            <w:tcBorders/>
            <w:vAlign w:val="center"/>
          </w:tcPr>
          <w:p>
            <w:pPr>
              <w:pStyle w:val="TableContents"/>
              <w:bidi w:val="0"/>
              <w:spacing w:before="0" w:after="283"/>
              <w:jc w:val="left"/>
              <w:rPr/>
            </w:pPr>
            <w:r>
              <w:rPr/>
              <w:t> </w:t>
            </w:r>
          </w:p>
        </w:tc>
        <w:tc>
          <w:tcPr>
            <w:tcW w:w="9096" w:type="dxa"/>
            <w:tcBorders/>
            <w:vAlign w:val="center"/>
          </w:tcPr>
          <w:p>
            <w:pPr>
              <w:pStyle w:val="TableContents"/>
              <w:bidi w:val="0"/>
              <w:spacing w:before="0" w:after="283"/>
              <w:jc w:val="left"/>
              <w:rPr/>
            </w:pPr>
            <w:hyperlink w:anchor="tm2625542d1_ex99-2.htm">
              <w:r>
                <w:rPr>
                  <w:rStyle w:val="InternetLink"/>
                  <w:rFonts w:ascii="Times New Roman;Times;Serif" w:hAnsi="Times New Roman;Times;Serif"/>
                  <w:sz w:val="20"/>
                </w:rPr>
                <w:t>Announcement—Notice of Listing on the Stock Exchange of Hong Kong Limited</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2135"/>
        <w:gridCol w:w="545"/>
        <w:gridCol w:w="3740"/>
      </w:tblGrid>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 World Group Limited</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(Registrant)</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16, 2026</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Qi Ji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 Ji</w:t>
            </w:r>
          </w:p>
        </w:tc>
      </w:tr>
      <w:tr>
        <w:trPr/>
        <w:tc>
          <w:tcPr>
            <w:tcW w:w="21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Chairman of the Board of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2" w:name="tm2625542d1_ex99-1.htm"/>
      <w:bookmarkStart w:id="3" w:name="kstm2625542d1_ex991"/>
      <w:bookmarkEnd w:id="2"/>
      <w:bookmarkEnd w:id="3"/>
      <w:r>
        <w:rPr/>
        <w:t> </w:t>
      </w:r>
      <w:r>
        <w:br w:type="page"/>
      </w:r>
    </w:p>
    <w:p>
      <w:pPr>
        <w:pStyle w:val="TextBody"/>
        <w:bidi w:val="0"/>
        <w:jc w:val="right"/>
        <w:rPr>
          <w:b/>
          <w:sz w:val="20"/>
        </w:rPr>
      </w:pPr>
      <w:r>
        <w:rPr>
          <w:b/>
          <w:sz w:val="20"/>
        </w:rPr>
        <w:t>Exhibit 99.1 </w:t>
      </w:r>
    </w:p>
    <w:p>
      <w:pPr>
        <w:pStyle w:val="TextBody"/>
        <w:bidi w:val="0"/>
        <w:spacing w:before="0" w:after="0"/>
        <w:ind w:left="0" w:right="139" w:hanging="0"/>
        <w:jc w:val="both"/>
        <w:rPr>
          <w:caps w:val="false"/>
          <w:smallCaps w:val="false"/>
        </w:rPr>
      </w:pPr>
      <w:r>
        <w:rPr>
          <w:caps w:val="false"/>
          <w:smallCaps w:val="false"/>
        </w:rPr>
        <w:t> </w:t>
      </w:r>
    </w:p>
    <w:p>
      <w:pPr>
        <w:pStyle w:val="TextBody"/>
        <w:bidi w:val="0"/>
        <w:spacing w:before="0" w:after="0"/>
        <w:ind w:left="0" w:right="1199" w:hanging="0"/>
        <w:jc w:val="center"/>
        <w:rPr>
          <w:rFonts w:ascii="Times New Roman;Times;Serif" w:hAnsi="Times New Roman;Times;Serif"/>
          <w:b/>
          <w:i w:val="false"/>
          <w:caps w:val="false"/>
          <w:smallCaps w:val="false"/>
          <w:color w:val="231916"/>
          <w:sz w:val="20"/>
        </w:rPr>
      </w:pPr>
      <w:r>
        <w:rPr>
          <w:rFonts w:ascii="Times New Roman;Times;Serif" w:hAnsi="Times New Roman;Times;Serif"/>
          <w:b/>
          <w:i w:val="false"/>
          <w:caps w:val="false"/>
          <w:smallCaps w:val="false"/>
          <w:color w:val="231916"/>
          <w:sz w:val="20"/>
        </w:rPr>
        <w:t>H World Group Limited Announces Completion of</w:t>
      </w:r>
    </w:p>
    <w:p>
      <w:pPr>
        <w:pStyle w:val="TextBody"/>
        <w:bidi w:val="0"/>
        <w:spacing w:before="0" w:after="0"/>
        <w:ind w:left="0" w:right="1199" w:hanging="0"/>
        <w:jc w:val="center"/>
        <w:rPr>
          <w:rFonts w:ascii="Times New Roman;Times;Serif" w:hAnsi="Times New Roman;Times;Serif"/>
          <w:b/>
          <w:i w:val="false"/>
          <w:caps w:val="false"/>
          <w:smallCaps w:val="false"/>
          <w:color w:val="231916"/>
          <w:sz w:val="20"/>
        </w:rPr>
      </w:pPr>
      <w:r>
        <w:rPr>
          <w:rFonts w:ascii="Times New Roman;Times;Serif" w:hAnsi="Times New Roman;Times;Serif"/>
          <w:b/>
          <w:i w:val="false"/>
          <w:caps w:val="false"/>
          <w:smallCaps w:val="false"/>
          <w:color w:val="231916"/>
          <w:sz w:val="20"/>
        </w:rPr>
        <w:t>CNY3.35 Billion Offering of</w:t>
      </w:r>
    </w:p>
    <w:p>
      <w:pPr>
        <w:pStyle w:val="TextBody"/>
        <w:bidi w:val="0"/>
        <w:spacing w:before="0" w:after="0"/>
        <w:ind w:left="0" w:right="1199" w:hanging="0"/>
        <w:jc w:val="center"/>
        <w:rPr>
          <w:rFonts w:ascii="Times New Roman;Times;Serif" w:hAnsi="Times New Roman;Times;Serif"/>
          <w:b/>
          <w:i w:val="false"/>
          <w:caps w:val="false"/>
          <w:smallCaps w:val="false"/>
          <w:color w:val="231916"/>
          <w:sz w:val="20"/>
        </w:rPr>
      </w:pPr>
      <w:r>
        <w:rPr>
          <w:rFonts w:ascii="Times New Roman;Times;Serif" w:hAnsi="Times New Roman;Times;Serif"/>
          <w:b/>
          <w:i w:val="false"/>
          <w:caps w:val="false"/>
          <w:smallCaps w:val="false"/>
          <w:color w:val="231916"/>
          <w:sz w:val="20"/>
        </w:rPr>
        <w:t>CNY-denominated Senior Bonds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13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 xml:space="preserve">SINGAPORE and SHANGHAI, </w:t>
      </w:r>
      <w:r>
        <w:rPr>
          <w:rFonts w:ascii="Times New Roman;Times;Serif" w:hAnsi="Times New Roman;Times;Serif"/>
          <w:b w:val="false"/>
          <w:i w:val="false"/>
          <w:caps w:val="false"/>
          <w:smallCaps w:val="false"/>
          <w:sz w:val="20"/>
        </w:rPr>
        <w:t xml:space="preserve">September 16, 2026 (GLOBE NEWSWIRE) — </w:t>
      </w:r>
      <w:r>
        <w:rPr>
          <w:rFonts w:ascii="Times New Roman;Times;Serif" w:hAnsi="Times New Roman;Times;Serif"/>
          <w:b w:val="false"/>
          <w:i w:val="false"/>
          <w:caps w:val="false"/>
          <w:smallCaps w:val="false"/>
          <w:color w:val="231916"/>
          <w:sz w:val="20"/>
        </w:rPr>
        <w:t xml:space="preserve">H World Group Limited </w:t>
      </w:r>
      <w:r>
        <w:rPr>
          <w:rFonts w:ascii="Times New Roman;Times;Serif" w:hAnsi="Times New Roman;Times;Serif"/>
          <w:b w:val="false"/>
          <w:i w:val="false"/>
          <w:caps w:val="false"/>
          <w:smallCaps w:val="false"/>
          <w:sz w:val="20"/>
        </w:rPr>
        <w:t xml:space="preserve">(NASDAQ: HTHT and HKEX: 1179) </w:t>
      </w:r>
      <w:r>
        <w:rPr>
          <w:rFonts w:ascii="Times New Roman;Times;Serif" w:hAnsi="Times New Roman;Times;Serif"/>
          <w:b w:val="false"/>
          <w:i w:val="false"/>
          <w:caps w:val="false"/>
          <w:smallCaps w:val="false"/>
          <w:color w:val="231916"/>
          <w:sz w:val="20"/>
        </w:rPr>
        <w:t>(“</w:t>
      </w:r>
      <w:r>
        <w:rPr>
          <w:rFonts w:ascii="Times New Roman;Times;Serif" w:hAnsi="Times New Roman;Times;Serif"/>
          <w:b/>
          <w:i w:val="false"/>
          <w:caps w:val="false"/>
          <w:smallCaps w:val="false"/>
          <w:color w:val="231916"/>
          <w:sz w:val="20"/>
        </w:rPr>
        <w:t>H World</w:t>
      </w:r>
      <w:r>
        <w:rPr>
          <w:rFonts w:ascii="Times New Roman;Times;Serif" w:hAnsi="Times New Roman;Times;Serif"/>
          <w:b w:val="false"/>
          <w:i w:val="false"/>
          <w:caps w:val="false"/>
          <w:smallCaps w:val="false"/>
          <w:color w:val="231916"/>
          <w:sz w:val="20"/>
        </w:rPr>
        <w:t>” or the “</w:t>
      </w:r>
      <w:r>
        <w:rPr>
          <w:rFonts w:ascii="Times New Roman;Times;Serif" w:hAnsi="Times New Roman;Times;Serif"/>
          <w:b/>
          <w:i w:val="false"/>
          <w:caps w:val="false"/>
          <w:smallCaps w:val="false"/>
          <w:color w:val="231916"/>
          <w:sz w:val="20"/>
        </w:rPr>
        <w:t>Company</w:t>
      </w:r>
      <w:r>
        <w:rPr>
          <w:rFonts w:ascii="Times New Roman;Times;Serif" w:hAnsi="Times New Roman;Times;Serif"/>
          <w:b w:val="false"/>
          <w:i w:val="false"/>
          <w:caps w:val="false"/>
          <w:smallCaps w:val="false"/>
          <w:color w:val="231916"/>
          <w:sz w:val="20"/>
        </w:rPr>
        <w:t>,” together with its subsidiaries, the “</w:t>
      </w:r>
      <w:r>
        <w:rPr>
          <w:rFonts w:ascii="Times New Roman;Times;Serif" w:hAnsi="Times New Roman;Times;Serif"/>
          <w:b/>
          <w:i w:val="false"/>
          <w:caps w:val="false"/>
          <w:smallCaps w:val="false"/>
          <w:color w:val="231916"/>
          <w:sz w:val="20"/>
        </w:rPr>
        <w:t>Group</w:t>
      </w:r>
      <w:r>
        <w:rPr>
          <w:rFonts w:ascii="Times New Roman;Times;Serif" w:hAnsi="Times New Roman;Times;Serif"/>
          <w:b w:val="false"/>
          <w:i w:val="false"/>
          <w:caps w:val="false"/>
          <w:smallCaps w:val="false"/>
          <w:color w:val="231916"/>
          <w:sz w:val="20"/>
        </w:rPr>
        <w:t>”),</w:t>
      </w:r>
      <w:r>
        <w:rPr>
          <w:rFonts w:ascii="Times New Roman;Times;Serif" w:hAnsi="Times New Roman;Times;Serif"/>
          <w:b w:val="false"/>
          <w:i w:val="false"/>
          <w:caps w:val="false"/>
          <w:smallCaps w:val="false"/>
          <w:sz w:val="20"/>
        </w:rPr>
        <w:t xml:space="preserve"> a key player in the global hotel industry, </w:t>
      </w:r>
      <w:r>
        <w:rPr>
          <w:rFonts w:ascii="Times New Roman;Times;Serif" w:hAnsi="Times New Roman;Times;Serif"/>
          <w:b w:val="false"/>
          <w:i w:val="false"/>
          <w:caps w:val="false"/>
          <w:smallCaps w:val="false"/>
          <w:color w:val="231916"/>
          <w:sz w:val="20"/>
        </w:rPr>
        <w:t>today announced the completion of its offering of CNY3.35 billion aggregate principal amount of CNY-denominated senior unsecured bonds (the “</w:t>
      </w:r>
      <w:r>
        <w:rPr>
          <w:rFonts w:ascii="Times New Roman;Times;Serif" w:hAnsi="Times New Roman;Times;Serif"/>
          <w:b/>
          <w:i w:val="false"/>
          <w:caps w:val="false"/>
          <w:smallCaps w:val="false"/>
          <w:color w:val="231916"/>
          <w:sz w:val="20"/>
        </w:rPr>
        <w:t>Bonds</w:t>
      </w:r>
      <w:r>
        <w:rPr>
          <w:rFonts w:ascii="Times New Roman;Times;Serif" w:hAnsi="Times New Roman;Times;Serif"/>
          <w:b w:val="false"/>
          <w:i w:val="false"/>
          <w:caps w:val="false"/>
          <w:smallCaps w:val="false"/>
          <w:color w:val="231916"/>
          <w:sz w:val="20"/>
        </w:rPr>
        <w:t>”). The Bonds were offered in offshore transactions outside the United States to non-U.S. persons (the “</w:t>
      </w:r>
      <w:r>
        <w:rPr>
          <w:rFonts w:ascii="Times New Roman;Times;Serif" w:hAnsi="Times New Roman;Times;Serif"/>
          <w:b/>
          <w:i w:val="false"/>
          <w:caps w:val="false"/>
          <w:smallCaps w:val="false"/>
          <w:color w:val="231916"/>
          <w:sz w:val="20"/>
        </w:rPr>
        <w:t>Bond Offering</w:t>
      </w:r>
      <w:r>
        <w:rPr>
          <w:rFonts w:ascii="Times New Roman;Times;Serif" w:hAnsi="Times New Roman;Times;Serif"/>
          <w:b w:val="false"/>
          <w:i w:val="false"/>
          <w:caps w:val="false"/>
          <w:smallCaps w:val="false"/>
          <w:color w:val="231916"/>
          <w:sz w:val="20"/>
        </w:rPr>
        <w:t>”) in reliance on Regulation S under the United States Securities Act of 1933, as amended (the “</w:t>
      </w:r>
      <w:r>
        <w:rPr>
          <w:rFonts w:ascii="Times New Roman;Times;Serif" w:hAnsi="Times New Roman;Times;Serif"/>
          <w:b/>
          <w:i w:val="false"/>
          <w:caps w:val="false"/>
          <w:smallCaps w:val="false"/>
          <w:color w:val="231916"/>
          <w:sz w:val="20"/>
        </w:rPr>
        <w:t>Securities Act</w:t>
      </w:r>
      <w:r>
        <w:rPr>
          <w:rFonts w:ascii="Times New Roman;Times;Serif" w:hAnsi="Times New Roman;Times;Serif"/>
          <w:b w:val="false"/>
          <w:i w:val="false"/>
          <w:caps w:val="false"/>
          <w:smallCaps w:val="false"/>
          <w:color w:val="231916"/>
          <w:sz w:val="20"/>
        </w:rPr>
        <w:t xml:space="preserve">”). </w:t>
      </w:r>
    </w:p>
    <w:p>
      <w:pPr>
        <w:pStyle w:val="TextBody"/>
        <w:bidi w:val="0"/>
        <w:spacing w:before="0" w:after="0"/>
        <w:ind w:left="0" w:right="147" w:hanging="0"/>
        <w:jc w:val="both"/>
        <w:rPr>
          <w:caps w:val="false"/>
          <w:smallCaps w:val="false"/>
          <w:color w:val="231916"/>
        </w:rPr>
      </w:pPr>
      <w:r>
        <w:rPr>
          <w:caps w:val="false"/>
          <w:smallCaps w:val="false"/>
          <w:color w:val="231916"/>
        </w:rPr>
        <w:t> </w:t>
      </w:r>
    </w:p>
    <w:p>
      <w:pPr>
        <w:pStyle w:val="TextBody"/>
        <w:bidi w:val="0"/>
        <w:spacing w:before="0" w:after="0"/>
        <w:ind w:left="0" w:right="147"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Bond Offering consists of CNY3.35 billion of 2.25 per cent. bonds due 2031.</w:t>
      </w:r>
    </w:p>
    <w:p>
      <w:pPr>
        <w:pStyle w:val="TextBody"/>
        <w:bidi w:val="0"/>
        <w:spacing w:before="0" w:after="0"/>
        <w:ind w:left="0" w:right="139" w:hanging="0"/>
        <w:jc w:val="left"/>
        <w:rPr>
          <w:caps w:val="false"/>
          <w:smallCaps w:val="false"/>
        </w:rPr>
      </w:pPr>
      <w:r>
        <w:rPr>
          <w:caps w:val="false"/>
          <w:smallCaps w:val="false"/>
        </w:rPr>
        <w:t> </w:t>
      </w:r>
    </w:p>
    <w:p>
      <w:pPr>
        <w:pStyle w:val="TextBody"/>
        <w:bidi w:val="0"/>
        <w:spacing w:before="0" w:after="0"/>
        <w:ind w:left="0" w:right="139"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The Company intends to use the net proceeds from the Bond Offering for</w:t>
      </w:r>
      <w:r>
        <w:rPr>
          <w:rFonts w:ascii="Times New Roman;Times;Serif" w:hAnsi="Times New Roman;Times;Serif"/>
          <w:b w:val="false"/>
          <w:i w:val="false"/>
          <w:caps w:val="false"/>
          <w:smallCaps w:val="false"/>
          <w:sz w:val="20"/>
        </w:rPr>
        <w:t xml:space="preserve"> general corporate purposes</w:t>
      </w:r>
      <w:r>
        <w:rPr>
          <w:rFonts w:ascii="Times New Roman;Times;Serif" w:hAnsi="Times New Roman;Times;Serif"/>
          <w:b w:val="false"/>
          <w:i w:val="false"/>
          <w:caps w:val="false"/>
          <w:smallCaps w:val="false"/>
          <w:color w:val="231916"/>
          <w:sz w:val="20"/>
        </w:rPr>
        <w:t>.</w:t>
      </w:r>
    </w:p>
    <w:p>
      <w:pPr>
        <w:pStyle w:val="TextBody"/>
        <w:bidi w:val="0"/>
        <w:spacing w:before="0" w:after="0"/>
        <w:ind w:left="0" w:right="139" w:hanging="0"/>
        <w:jc w:val="both"/>
        <w:rPr>
          <w:caps w:val="false"/>
          <w:smallCaps w:val="false"/>
          <w:color w:val="231916"/>
        </w:rPr>
      </w:pPr>
      <w:r>
        <w:rPr>
          <w:caps w:val="false"/>
          <w:smallCaps w:val="false"/>
          <w:color w:val="231916"/>
        </w:rPr>
        <w:t> </w:t>
      </w:r>
    </w:p>
    <w:p>
      <w:pPr>
        <w:pStyle w:val="TextBody"/>
        <w:bidi w:val="0"/>
        <w:spacing w:before="0" w:after="0"/>
        <w:ind w:left="0" w:right="139"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Bonds have not been and will not be registered under the Securities Act or any state securities laws. They may not be offered or sold in the United States or to, or for the account or benefit of,</w:t>
      </w:r>
    </w:p>
    <w:p>
      <w:pPr>
        <w:pStyle w:val="TextBody"/>
        <w:bidi w:val="0"/>
        <w:spacing w:before="0" w:after="0"/>
        <w:jc w:val="left"/>
        <w:rPr>
          <w:caps w:val="false"/>
          <w:smallCaps w:val="false"/>
          <w:color w:val="231916"/>
        </w:rPr>
      </w:pPr>
      <w:r>
        <w:rPr>
          <w:caps w:val="false"/>
          <w:smallCaps w:val="false"/>
          <w:color w:val="231916"/>
        </w:rPr>
        <w:t> </w:t>
      </w:r>
    </w:p>
    <w:p>
      <w:pPr>
        <w:pStyle w:val="TextBody"/>
        <w:bidi w:val="0"/>
        <w:spacing w:before="0" w:after="0"/>
        <w:jc w:val="left"/>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U.S. persons (as defined in Regulation S under the Securities Act) except pursuant to an exemption from, or in a transaction not subject to, the registration requirements of the Securities Act.</w:t>
      </w:r>
    </w:p>
    <w:p>
      <w:pPr>
        <w:pStyle w:val="TextBody"/>
        <w:bidi w:val="0"/>
        <w:spacing w:before="0" w:after="0"/>
        <w:ind w:left="0" w:right="138" w:hanging="0"/>
        <w:jc w:val="both"/>
        <w:rPr>
          <w:caps w:val="false"/>
          <w:smallCaps w:val="false"/>
          <w:color w:val="231916"/>
        </w:rPr>
      </w:pPr>
      <w:r>
        <w:rPr>
          <w:caps w:val="false"/>
          <w:smallCaps w:val="false"/>
          <w:color w:val="231916"/>
        </w:rPr>
        <w:t> </w:t>
      </w:r>
    </w:p>
    <w:p>
      <w:pPr>
        <w:pStyle w:val="TextBody"/>
        <w:bidi w:val="0"/>
        <w:spacing w:before="0" w:after="0"/>
        <w:ind w:left="0" w:right="138"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The listing of and permission to deal in the Bonds on The Stock Exchange of Hong Kong Limited (the “</w:t>
      </w:r>
      <w:r>
        <w:rPr>
          <w:rFonts w:ascii="Times New Roman;Times;Serif" w:hAnsi="Times New Roman;Times;Serif"/>
          <w:b/>
          <w:i w:val="false"/>
          <w:caps w:val="false"/>
          <w:smallCaps w:val="false"/>
          <w:color w:val="231916"/>
          <w:sz w:val="20"/>
        </w:rPr>
        <w:t>Hong Kong Stock Exchange</w:t>
      </w:r>
      <w:r>
        <w:rPr>
          <w:rFonts w:ascii="Times New Roman;Times;Serif" w:hAnsi="Times New Roman;Times;Serif"/>
          <w:b w:val="false"/>
          <w:i w:val="false"/>
          <w:caps w:val="false"/>
          <w:smallCaps w:val="false"/>
          <w:color w:val="231916"/>
          <w:sz w:val="20"/>
        </w:rPr>
        <w:t>”) is expected to become effective on September 17, 2026.</w:t>
      </w:r>
    </w:p>
    <w:p>
      <w:pPr>
        <w:pStyle w:val="TextBody"/>
        <w:bidi w:val="0"/>
        <w:spacing w:before="0" w:after="0"/>
        <w:ind w:left="0" w:right="138" w:hanging="0"/>
        <w:jc w:val="both"/>
        <w:rPr>
          <w:caps w:val="false"/>
          <w:smallCaps w:val="false"/>
          <w:color w:val="231916"/>
        </w:rPr>
      </w:pPr>
      <w:r>
        <w:rPr>
          <w:caps w:val="false"/>
          <w:smallCaps w:val="false"/>
          <w:color w:val="231916"/>
        </w:rPr>
        <w:t> </w:t>
      </w:r>
    </w:p>
    <w:p>
      <w:pPr>
        <w:pStyle w:val="TextBody"/>
        <w:bidi w:val="0"/>
        <w:spacing w:before="0" w:after="0"/>
        <w:ind w:left="0" w:right="138"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138" w:hanging="0"/>
        <w:jc w:val="both"/>
        <w:rPr>
          <w:caps w:val="false"/>
          <w:smallCaps w:val="false"/>
          <w:color w:val="231916"/>
        </w:rPr>
      </w:pPr>
      <w:r>
        <w:rPr>
          <w:caps w:val="false"/>
          <w:smallCaps w:val="false"/>
          <w:color w:val="231916"/>
        </w:rPr>
        <w:t> </w:t>
      </w:r>
    </w:p>
    <w:p>
      <w:pPr>
        <w:pStyle w:val="TextBody"/>
        <w:bidi w:val="0"/>
        <w:spacing w:before="0" w:after="0"/>
        <w:ind w:left="0" w:right="138"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This press release shall not constitute an offer to sell or a solicitation of an offer to purchase any securities, in the United States or elsewhere, and shall not constitute an offer, solicitation or sale of the securities in any state or jurisdiction in which such an offer, solicitation or sale would be unlawful.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140"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 xml:space="preserve">About H World </w:t>
      </w:r>
    </w:p>
    <w:p>
      <w:pPr>
        <w:pStyle w:val="TextBody"/>
        <w:bidi w:val="0"/>
        <w:spacing w:before="0" w:after="0"/>
        <w:ind w:left="0" w:right="140" w:hanging="0"/>
        <w:jc w:val="both"/>
        <w:rPr>
          <w:caps w:val="false"/>
          <w:smallCaps w:val="false"/>
          <w:color w:val="231916"/>
        </w:rPr>
      </w:pPr>
      <w:r>
        <w:rPr>
          <w:caps w:val="false"/>
          <w:smallCaps w:val="false"/>
          <w:color w:val="231916"/>
        </w:rPr>
        <w:t> </w:t>
      </w:r>
    </w:p>
    <w:p>
      <w:pPr>
        <w:pStyle w:val="TextBody"/>
        <w:bidi w:val="0"/>
        <w:spacing w:before="0" w:after="0"/>
        <w:ind w:left="0" w:right="140"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Originated in China, H World is a key player in the global hotel industry. As of June 30, 2026, H World operated 13,539 hotels with 1,335,445 rooms in operation in 21 countries. H World’s brands include HanTing Hotel, JI Hotel, Orange Hotel, Crystal Orange Hotel, IntercityHotel, Grand JI Hotel, Hi Inn, Ni Hao Hotel, Elan Hotel, Zleep Hotels, Starway Hotel, CitiGO, Manxin Hotel, Madison Hotel, MAXX Hotel, Blossom House, Joya Hotel, Steigenberger Hotels &amp; Resorts, Jaz in the City, Steigenberger Icons and Song Hotels. In addition, H World also has the rights as master franchisee for Mercure, Ibis and Ibis Styles, and co-development rights for Grand Mercure and Novotel, in the pan-China region.</w:t>
      </w:r>
    </w:p>
    <w:p>
      <w:pPr>
        <w:pStyle w:val="TextBody"/>
        <w:bidi w:val="0"/>
        <w:spacing w:before="0" w:after="0"/>
        <w:ind w:left="0" w:right="140" w:hanging="0"/>
        <w:jc w:val="both"/>
        <w:rPr>
          <w:caps w:val="false"/>
          <w:smallCaps w:val="false"/>
          <w:color w:val="231916"/>
        </w:rPr>
      </w:pPr>
      <w:r>
        <w:rPr>
          <w:caps w:val="false"/>
          <w:smallCaps w:val="false"/>
          <w:color w:val="231916"/>
        </w:rPr>
        <w:t> </w:t>
      </w:r>
    </w:p>
    <w:p>
      <w:pPr>
        <w:pStyle w:val="TextBody"/>
        <w:bidi w:val="0"/>
        <w:spacing w:before="0" w:after="0"/>
        <w:ind w:left="0" w:right="140" w:hanging="0"/>
        <w:jc w:val="both"/>
        <w:rPr>
          <w:rFonts w:ascii="Times New Roman;Times;Serif" w:hAnsi="Times New Roman;Times;Serif"/>
          <w:b w:val="false"/>
          <w:i w:val="false"/>
          <w:caps w:val="false"/>
          <w:smallCaps w:val="false"/>
          <w:color w:val="231916"/>
          <w:sz w:val="20"/>
        </w:rPr>
      </w:pPr>
      <w:r>
        <w:rPr>
          <w:rFonts w:ascii="Times New Roman;Times;Serif" w:hAnsi="Times New Roman;Times;Serif"/>
          <w:b w:val="false"/>
          <w:i w:val="false"/>
          <w:caps w:val="false"/>
          <w:smallCaps w:val="false"/>
          <w:color w:val="231916"/>
          <w:sz w:val="20"/>
        </w:rPr>
        <w:t>H World’s business includes L&amp;O and M&amp;F models. Under the L&amp;O model, H World directly operates hotels typically located on leased or owned properties. Under the manachise model, H World manages manachised hotels through the on-site hotel managers that H World appoints, and H World collects fees from franchisees. Under the franchise model, H World provides training, reservations and support services to the franchised hotels, and collects fees from franchisees but does not appoint on-site hotel managers. H World applies a consistent standard and platform across all of its hotels. As of June 30, 2026, H World operated 7 percent of its hotel rooms under the L&amp;O model, and 93 percent under the M&amp;F model.</w:t>
      </w:r>
    </w:p>
    <w:p>
      <w:pPr>
        <w:pStyle w:val="TextBody"/>
        <w:bidi w:val="0"/>
        <w:spacing w:before="0" w:after="0"/>
        <w:ind w:left="0" w:right="140" w:hanging="0"/>
        <w:jc w:val="both"/>
        <w:rPr>
          <w:caps w:val="false"/>
          <w:smallCaps w:val="false"/>
          <w:color w:val="231916"/>
        </w:rPr>
      </w:pPr>
      <w:r>
        <w:rPr>
          <w:caps w:val="false"/>
          <w:smallCaps w:val="false"/>
          <w:color w:val="231916"/>
        </w:rPr>
        <w:t> </w:t>
      </w:r>
    </w:p>
    <w:p>
      <w:pPr>
        <w:pStyle w:val="TextBody"/>
        <w:bidi w:val="0"/>
        <w:spacing w:before="0" w:after="0"/>
        <w:ind w:left="0" w:right="14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 xml:space="preserve">For more information, please visit H World’s website: </w:t>
      </w:r>
      <w:r>
        <w:rPr>
          <w:rFonts w:ascii="Times New Roman;Times;Serif" w:hAnsi="Times New Roman;Times;Serif"/>
          <w:b w:val="false"/>
          <w:i w:val="false"/>
          <w:caps w:val="false"/>
          <w:smallCaps w:val="false"/>
          <w:sz w:val="20"/>
          <w:u w:val="single"/>
        </w:rPr>
        <w:t>https://ir.hworld.com</w:t>
      </w:r>
      <w:r>
        <w:rPr>
          <w:rFonts w:ascii="Times New Roman;Times;Serif" w:hAnsi="Times New Roman;Times;Serif"/>
          <w:b w:val="false"/>
          <w:i w:val="false"/>
          <w:caps w:val="false"/>
          <w:smallCaps w:val="false"/>
          <w:color w:val="231916"/>
          <w:sz w:val="20"/>
        </w:rPr>
        <w:t>.</w:t>
      </w:r>
    </w:p>
    <w:p>
      <w:pPr>
        <w:pStyle w:val="TextBody"/>
        <w:bidi w:val="0"/>
        <w:spacing w:before="0" w:after="0"/>
        <w:ind w:left="0" w:right="140" w:hanging="0"/>
        <w:jc w:val="both"/>
        <w:rPr>
          <w:caps w:val="false"/>
          <w:smallCaps w:val="false"/>
          <w:color w:val="231916"/>
        </w:rPr>
      </w:pPr>
      <w:r>
        <w:rPr>
          <w:caps w:val="false"/>
          <w:smallCaps w:val="false"/>
          <w:color w:val="231916"/>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Harbor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132"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231916"/>
          <w:sz w:val="20"/>
        </w:rPr>
        <w:t>This press release contains forward-looking statements. These statements are made under the “safe harbor” provisions of the U.S. Private Securities Litigation Reform Act of 1995. These forward-looking statements can be identified by terminology such as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916"/>
          <w:sz w:val="20"/>
        </w:rPr>
        <w:t>“may,” “should,” “will,” “expect,” “plan,” “intend,” “anticipate,” “believe,” “estimate,” “predict,” “potential,” “forecast,” “project” or “continue,” the negative of such terms or other comparable terminology. The Company may also make written or oral forward-looking statements in its periodic reports to the U.S. Securities and Exchange Commission (the “</w:t>
      </w:r>
      <w:r>
        <w:rPr>
          <w:rFonts w:ascii="Times New Roman;Times;Serif" w:hAnsi="Times New Roman;Times;Serif"/>
          <w:b/>
          <w:i w:val="false"/>
          <w:caps w:val="false"/>
          <w:smallCaps w:val="false"/>
          <w:color w:val="231916"/>
          <w:sz w:val="20"/>
        </w:rPr>
        <w:t>SEC</w:t>
      </w:r>
      <w:r>
        <w:rPr>
          <w:rFonts w:ascii="Times New Roman;Times;Serif" w:hAnsi="Times New Roman;Times;Serif"/>
          <w:b w:val="false"/>
          <w:i w:val="false"/>
          <w:caps w:val="false"/>
          <w:smallCaps w:val="false"/>
          <w:color w:val="231916"/>
          <w:sz w:val="20"/>
        </w:rPr>
        <w:t>”),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the Company’s anticipated growth strategies; its future results of operations and financial condition; economic conditions; the regulatory environment; its ability to attract and retain customers and leverage its brands; trends and competition in the lodging industry; the expected growth of demand for lodging; and other factors and risks detailed in its filings with the SEC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916"/>
          <w:sz w:val="20"/>
        </w:rPr>
        <w:t>Further information regarding these and other risks is included in the Company’s filings with the SEC and the announcements on the website of the Hong Kong Stock Exchange. All information provided in this press release is as of the date of the press release, and the Company undertakes no obligation to update any forward-looking statement, except as required under applicable law.</w:t>
      </w:r>
    </w:p>
    <w:p>
      <w:pPr>
        <w:pStyle w:val="TextBody"/>
        <w:bidi w:val="0"/>
        <w:spacing w:before="0" w:after="0"/>
        <w:ind w:left="0" w:right="132" w:hanging="0"/>
        <w:jc w:val="both"/>
        <w:rPr>
          <w:caps w:val="false"/>
          <w:smallCaps w:val="false"/>
          <w:color w:val="231916"/>
        </w:rPr>
      </w:pPr>
      <w:r>
        <w:rPr>
          <w:caps w:val="false"/>
          <w:smallCaps w:val="false"/>
          <w:color w:val="231916"/>
        </w:rPr>
        <w:t> </w:t>
      </w:r>
    </w:p>
    <w:p>
      <w:pPr>
        <w:pStyle w:val="TextBody"/>
        <w:bidi w:val="0"/>
        <w:spacing w:before="0" w:after="0"/>
        <w:ind w:left="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 (21) 6195 9561</w:t>
      </w:r>
    </w:p>
    <w:p>
      <w:pPr>
        <w:pStyle w:val="TextBody"/>
        <w:bidi w:val="0"/>
        <w:spacing w:before="0" w:after="0"/>
        <w:ind w:left="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ir@hworld.com</w:t>
      </w:r>
    </w:p>
    <w:p>
      <w:pPr>
        <w:pStyle w:val="TextBody"/>
        <w:bidi w:val="0"/>
        <w:spacing w:before="0" w:after="0"/>
        <w:ind w:left="0" w:right="13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https://ir.hworld.com</w:t>
      </w:r>
    </w:p>
    <w:p>
      <w:pPr>
        <w:pStyle w:val="TextBody"/>
        <w:bidi w:val="0"/>
        <w:spacing w:before="0" w:after="0"/>
        <w:ind w:left="0" w:right="132" w:hanging="0"/>
        <w:jc w:val="both"/>
        <w:rPr>
          <w:caps w:val="false"/>
          <w:smallCaps w:val="false"/>
        </w:rPr>
      </w:pPr>
      <w:r>
        <w:rPr>
          <w:caps w:val="false"/>
          <w:smallCaps w:val="false"/>
        </w:rPr>
        <w:t> </w:t>
      </w:r>
    </w:p>
    <w:p>
      <w:pPr>
        <w:pStyle w:val="TextBody"/>
        <w:bidi w:val="0"/>
        <w:spacing w:before="0" w:after="0"/>
        <w:ind w:left="0" w:right="132"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132" w:hanging="0"/>
        <w:jc w:val="both"/>
        <w:rPr>
          <w:caps w:val="false"/>
          <w:smallCaps w:val="false"/>
        </w:rPr>
      </w:pPr>
      <w:r>
        <w:rPr>
          <w:caps w:val="false"/>
          <w:smallCaps w:val="false"/>
        </w:rPr>
        <w:t> </w:t>
      </w:r>
    </w:p>
    <w:p>
      <w:pPr>
        <w:pStyle w:val="TextBody"/>
        <w:bidi w:val="0"/>
        <w:jc w:val="left"/>
        <w:rPr/>
      </w:pPr>
      <w:bookmarkStart w:id="4" w:name="tm2625542d1_ex99-2.htm"/>
      <w:bookmarkStart w:id="5" w:name="kstm2625542d1_ex992"/>
      <w:bookmarkEnd w:id="4"/>
      <w:bookmarkEnd w:id="5"/>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announcement is for information purposes only and is not an invitation or offer to sell or the solicitation of an offer to purchase any securities in the United States or in any other jurisdiction in which such invitation, offer, acquisition, solicitation or sale would be unlawful prior to registration or qualification under the securities laws of any such jurisdiction.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LISTING ON THE STOCK EXCHANGE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HONG KONG LIMITED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CNY3,350,000,000 2.25 PER CENT. BONDS DUE 2031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Stock Code: 85171) (the “Bonds”)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17145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752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World Group Limited</w:t>
      </w:r>
      <w:r>
        <w:rPr>
          <w:rFonts w:ascii="Times New Roman;Times;Serif" w:hAnsi="Times New Roman;Times;Serif"/>
          <w:b w:val="false"/>
          <w:i w:val="false"/>
          <w:caps w:val="false"/>
          <w:smallCaps w:val="false"/>
          <w:sz w:val="20"/>
        </w:rPr>
        <w:t> </w:t>
      </w:r>
    </w:p>
    <w:p>
      <w:pPr>
        <w:pStyle w:val="TextBody"/>
        <w:bidi w:val="0"/>
        <w:spacing w:before="0" w:after="0"/>
        <w:jc w:val="center"/>
        <w:rPr>
          <w:rFonts w:eastAsia="Times New Roman;Times;Serif"/>
          <w:b/>
          <w:i w:val="false"/>
          <w:caps w:val="false"/>
          <w:smallCaps w:val="false"/>
          <w:sz w:val="20"/>
        </w:rPr>
      </w:pPr>
      <w:r>
        <w:rPr>
          <w:rFonts w:eastAsia="Times New Roman;Times;Serif"/>
          <w:b/>
          <w:i w:val="false"/>
          <w:caps w:val="false"/>
          <w:smallCaps w:val="false"/>
          <w:sz w:val="20"/>
        </w:rPr>
        <w:t>華住集團有限公司</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(Formerly known as Huazhu Group Limited)</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in the Cayman Islands with limited liability)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Code: 1179)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Application has been made to The Stock Exchange of Hong Kong Limited for the listing of, and permission to deal in, the Bonds by way of debt issues to professional investors (as defined in Chapter 37 of the Rules Governing the Listing of Securities on The Stock Exchange of Hong Kong Limited) only, as described in the offering circular relating thereto dated September 9, 2026. The listing of and permission to deal in the Bonds is expected to become effective on September 17, 2026.</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75"/>
        <w:gridCol w:w="2150"/>
      </w:tblGrid>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Order of the Board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 World Group Limited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 Qi </w:t>
            </w:r>
          </w:p>
        </w:tc>
      </w:tr>
      <w:tr>
        <w:trPr/>
        <w:tc>
          <w:tcPr>
            <w:tcW w:w="75" w:type="dxa"/>
            <w:tcBorders/>
            <w:vAlign w:val="center"/>
          </w:tcPr>
          <w:p>
            <w:pPr>
              <w:pStyle w:val="TableContents"/>
              <w:bidi w:val="0"/>
              <w:spacing w:before="0" w:after="283"/>
              <w:jc w:val="left"/>
              <w:rPr/>
            </w:pPr>
            <w:r>
              <w:rPr/>
              <w:t> </w:t>
            </w:r>
          </w:p>
        </w:tc>
        <w:tc>
          <w:tcPr>
            <w:tcW w:w="21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Executive Chairman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at the date of this announcement, the board of directors of H World Group Limited comprises Mr. JI Qi, the Executive Chairman, and Mr. Justin Martin LEVERENZ, as directors; Mr. John WU Jiong, Mr. HEE Theng Fong, Ms. CAO Lei, Ms. ZHANG Yi (alias Bonnie Yi ZHANG) and Mr. SUN Yanjun as independent directors.</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1350</Words>
  <Characters>7191</Characters>
  <CharactersWithSpaces>8551</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